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187D78"/>
            <w:tcBorders>
              <w:top w:val="single" w:sz="0" w:color="187D78"/>
              <w:start w:val="single" w:sz="0" w:color="187D78"/>
              <w:bottom w:val="single" w:sz="0" w:color="187D78"/>
              <w:end w:val="single" w:sz="0" w:color="187D78"/>
              <w:insideH w:val="single" w:sz="0" w:color="187D78"/>
              <w:insideV w:val="single" w:sz="0" w:color="187D78"/>
            </w:tcBorders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LEAN PAIN RELIEF INITIATIVE</w:t>
            </w:r>
          </w:p>
        </w:tc>
      </w:tr>
    </w:tbl>
    <w:p>
      <w:pPr>
        <w:pStyle w:val="Title"/>
        <w:spacing w:before="140" w:after="40"/>
      </w:pPr>
      <w:r>
        <w:rPr>
          <w:rFonts w:ascii="Arial" w:hAnsi="Arial"/>
          <w:b/>
          <w:color w:val="000000"/>
          <w:sz w:val="50"/>
        </w:rPr>
        <w:t>Nonmedication Options for Pain Relief</w:t>
      </w:r>
    </w:p>
    <w:p>
      <w:pPr>
        <w:spacing w:after="120"/>
      </w:pPr>
      <w:r>
        <w:rPr>
          <w:rFonts w:ascii="Arial" w:hAnsi="Arial"/>
          <w:b/>
          <w:color w:val="173B57"/>
          <w:sz w:val="21"/>
        </w:rPr>
        <w:t>Practical approaches that may support comfort, function, sleep, and daily activity.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"/>
        <w:gridCol w:w="10296"/>
      </w:tblGrid>
      <w:tr>
        <w:tc>
          <w:tcPr>
            <w:tcW w:type="dxa" w:w="158"/>
            <w:shd w:fill="187D78"/>
            <w:tcBorders>
              <w:top w:val="single" w:sz="0" w:color="187D78"/>
              <w:start w:val="single" w:sz="0" w:color="187D78"/>
              <w:bottom w:val="single" w:sz="0" w:color="187D78"/>
              <w:end w:val="single" w:sz="0" w:color="187D78"/>
              <w:insideH w:val="single" w:sz="0" w:color="187D78"/>
              <w:insideV w:val="single" w:sz="0" w:color="187D78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10296"/>
            <w:shd w:fill="E8F4F2"/>
            <w:tcBorders>
              <w:top w:val="single" w:sz="0" w:color="E8F4F2"/>
              <w:start w:val="single" w:sz="0" w:color="E8F4F2"/>
              <w:bottom w:val="single" w:sz="0" w:color="E8F4F2"/>
              <w:end w:val="single" w:sz="0" w:color="E8F4F2"/>
              <w:insideH w:val="single" w:sz="0" w:color="E8F4F2"/>
              <w:insideV w:val="single" w:sz="0" w:color="E8F4F2"/>
            </w:tcBorders>
            <w:tcMar>
              <w:top w:w="105" w:type="dxa"/>
              <w:start w:w="115" w:type="dxa"/>
              <w:bottom w:w="105" w:type="dxa"/>
              <w:end w:w="11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No single option works for everyone. </w:t>
            </w:r>
            <w:r>
              <w:rPr>
                <w:rFonts w:ascii="Arial" w:hAnsi="Arial"/>
                <w:color w:val="232B31"/>
                <w:sz w:val="19"/>
              </w:rPr>
              <w:t>Choose approaches that fit your health, goals, and clinician’s guidance. Better function can be meaningful even when pain is not zero.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Spacing w:w="70" w:type="dxa"/>
      </w:tblPr>
      <w:tblGrid>
        <w:gridCol w:w="5155"/>
        <w:gridCol w:w="5155"/>
      </w:tblGrid>
      <w:tr>
        <w:trPr>
          <w:cantSplit/>
          <w:cantSplit/>
        </w:trPr>
        <w:tc>
          <w:tcPr>
            <w:tcW w:type="dxa" w:w="5155"/>
            <w:vAlign w:val="top"/>
            <w:shd w:fill="F6F9FB"/>
            <w:tcBorders>
              <w:top w:val="single" w:sz="6" w:color="D7E1E7"/>
              <w:start w:val="single" w:sz="6" w:color="D7E1E7"/>
              <w:bottom w:val="single" w:sz="6" w:color="D7E1E7"/>
              <w:end w:val="single" w:sz="6" w:color="D7E1E7"/>
              <w:insideH w:val="single" w:sz="6" w:color="D7E1E7"/>
              <w:insideV w:val="single" w:sz="6" w:color="D7E1E7"/>
            </w:tcBorders>
            <w:tcMar>
              <w:top w:w="155" w:type="dxa"/>
              <w:start w:w="115" w:type="dxa"/>
              <w:bottom w:w="125" w:type="dxa"/>
              <w:end w:w="115" w:type="dxa"/>
            </w:tcMar>
          </w:tcPr>
          <w:p>
            <w:pPr>
              <w:keepNext/>
              <w:spacing w:after="60"/>
            </w:pPr>
            <w:r>
              <w:rPr>
                <w:rFonts w:ascii="Arial" w:hAnsi="Arial"/>
                <w:b/>
                <w:color w:val="187D78"/>
                <w:sz w:val="17"/>
              </w:rPr>
              <w:t xml:space="preserve">01  </w:t>
            </w:r>
            <w:r>
              <w:rPr>
                <w:rFonts w:ascii="Arial" w:hAnsi="Arial"/>
                <w:b/>
                <w:color w:val="173B57"/>
                <w:sz w:val="22"/>
              </w:rPr>
              <w:t>Movement and exercise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Gentle walking, stretching, strengthening, aquatic exercise, yoga, or tai chi may help when appropriate.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Start slowly and increase in small, planned steps.</w:t>
            </w:r>
          </w:p>
        </w:tc>
        <w:tc>
          <w:tcPr>
            <w:tcW w:type="dxa" w:w="5155"/>
            <w:vAlign w:val="top"/>
            <w:shd w:fill="F6F9FB"/>
            <w:tcBorders>
              <w:top w:val="single" w:sz="6" w:color="D7E1E7"/>
              <w:start w:val="single" w:sz="6" w:color="D7E1E7"/>
              <w:bottom w:val="single" w:sz="6" w:color="D7E1E7"/>
              <w:end w:val="single" w:sz="6" w:color="D7E1E7"/>
              <w:insideH w:val="single" w:sz="6" w:color="D7E1E7"/>
              <w:insideV w:val="single" w:sz="6" w:color="D7E1E7"/>
            </w:tcBorders>
            <w:tcMar>
              <w:top w:w="155" w:type="dxa"/>
              <w:start w:w="115" w:type="dxa"/>
              <w:bottom w:w="125" w:type="dxa"/>
              <w:end w:w="115" w:type="dxa"/>
            </w:tcMar>
          </w:tcPr>
          <w:p>
            <w:pPr>
              <w:keepNext/>
              <w:spacing w:after="60"/>
            </w:pPr>
            <w:r>
              <w:rPr>
                <w:rFonts w:ascii="Arial" w:hAnsi="Arial"/>
                <w:b/>
                <w:color w:val="187D78"/>
                <w:sz w:val="17"/>
              </w:rPr>
              <w:t xml:space="preserve">02  </w:t>
            </w:r>
            <w:r>
              <w:rPr>
                <w:rFonts w:ascii="Arial" w:hAnsi="Arial"/>
                <w:b/>
                <w:color w:val="173B57"/>
                <w:sz w:val="22"/>
              </w:rPr>
              <w:t>Physical and occupational therapy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Personalized help with movement, mobility, posture, equipment, and everyday activities.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Follow surgery, injury, and weight-bearing restrictions.</w:t>
            </w:r>
          </w:p>
        </w:tc>
      </w:tr>
      <w:tr>
        <w:trPr>
          <w:cantSplit/>
          <w:cantSplit/>
        </w:trPr>
        <w:tc>
          <w:tcPr>
            <w:tcW w:type="dxa" w:w="5155"/>
            <w:vAlign w:val="top"/>
            <w:shd w:fill="EDF4F8"/>
            <w:tcBorders>
              <w:top w:val="single" w:sz="6" w:color="D7E1E7"/>
              <w:start w:val="single" w:sz="6" w:color="D7E1E7"/>
              <w:bottom w:val="single" w:sz="6" w:color="D7E1E7"/>
              <w:end w:val="single" w:sz="6" w:color="D7E1E7"/>
              <w:insideH w:val="single" w:sz="6" w:color="D7E1E7"/>
              <w:insideV w:val="single" w:sz="6" w:color="D7E1E7"/>
            </w:tcBorders>
            <w:tcMar>
              <w:top w:w="155" w:type="dxa"/>
              <w:start w:w="115" w:type="dxa"/>
              <w:bottom w:w="125" w:type="dxa"/>
              <w:end w:w="115" w:type="dxa"/>
            </w:tcMar>
          </w:tcPr>
          <w:p>
            <w:pPr>
              <w:keepNext/>
              <w:spacing w:after="60"/>
            </w:pPr>
            <w:r>
              <w:rPr>
                <w:rFonts w:ascii="Arial" w:hAnsi="Arial"/>
                <w:b/>
                <w:color w:val="187D78"/>
                <w:sz w:val="17"/>
              </w:rPr>
              <w:t xml:space="preserve">03  </w:t>
            </w:r>
            <w:r>
              <w:rPr>
                <w:rFonts w:ascii="Arial" w:hAnsi="Arial"/>
                <w:b/>
                <w:color w:val="173B57"/>
                <w:sz w:val="22"/>
              </w:rPr>
              <w:t>Heat and cold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Heat may ease stiffness; cold may reduce soreness or swelling in some situations.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Use a skin barrier. Avoid when sensation or circulation is reduced unless a clinician clears it.</w:t>
            </w:r>
          </w:p>
        </w:tc>
        <w:tc>
          <w:tcPr>
            <w:tcW w:type="dxa" w:w="5155"/>
            <w:vAlign w:val="top"/>
            <w:shd w:fill="EDF4F8"/>
            <w:tcBorders>
              <w:top w:val="single" w:sz="6" w:color="D7E1E7"/>
              <w:start w:val="single" w:sz="6" w:color="D7E1E7"/>
              <w:bottom w:val="single" w:sz="6" w:color="D7E1E7"/>
              <w:end w:val="single" w:sz="6" w:color="D7E1E7"/>
              <w:insideH w:val="single" w:sz="6" w:color="D7E1E7"/>
              <w:insideV w:val="single" w:sz="6" w:color="D7E1E7"/>
            </w:tcBorders>
            <w:tcMar>
              <w:top w:w="155" w:type="dxa"/>
              <w:start w:w="115" w:type="dxa"/>
              <w:bottom w:w="125" w:type="dxa"/>
              <w:end w:w="115" w:type="dxa"/>
            </w:tcMar>
          </w:tcPr>
          <w:p>
            <w:pPr>
              <w:keepNext/>
              <w:spacing w:after="60"/>
            </w:pPr>
            <w:r>
              <w:rPr>
                <w:rFonts w:ascii="Arial" w:hAnsi="Arial"/>
                <w:b/>
                <w:color w:val="187D78"/>
                <w:sz w:val="17"/>
              </w:rPr>
              <w:t xml:space="preserve">04  </w:t>
            </w:r>
            <w:r>
              <w:rPr>
                <w:rFonts w:ascii="Arial" w:hAnsi="Arial"/>
                <w:b/>
                <w:color w:val="173B57"/>
                <w:sz w:val="22"/>
              </w:rPr>
              <w:t>Relaxation and mind-body skills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Try slow breathing, mindfulness, guided imagery, progressive relaxation, CBT, or biofeedback.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Short, regular practice may be easier than waiting for a severe flare.</w:t>
            </w:r>
          </w:p>
        </w:tc>
      </w:tr>
      <w:tr>
        <w:trPr>
          <w:cantSplit/>
          <w:cantSplit/>
        </w:trPr>
        <w:tc>
          <w:tcPr>
            <w:tcW w:type="dxa" w:w="5155"/>
            <w:vAlign w:val="top"/>
            <w:shd w:fill="F6F9FB"/>
            <w:tcBorders>
              <w:top w:val="single" w:sz="6" w:color="D7E1E7"/>
              <w:start w:val="single" w:sz="6" w:color="D7E1E7"/>
              <w:bottom w:val="single" w:sz="6" w:color="D7E1E7"/>
              <w:end w:val="single" w:sz="6" w:color="D7E1E7"/>
              <w:insideH w:val="single" w:sz="6" w:color="D7E1E7"/>
              <w:insideV w:val="single" w:sz="6" w:color="D7E1E7"/>
            </w:tcBorders>
            <w:tcMar>
              <w:top w:w="155" w:type="dxa"/>
              <w:start w:w="115" w:type="dxa"/>
              <w:bottom w:w="125" w:type="dxa"/>
              <w:end w:w="115" w:type="dxa"/>
            </w:tcMar>
          </w:tcPr>
          <w:p>
            <w:pPr>
              <w:keepNext/>
              <w:spacing w:after="60"/>
            </w:pPr>
            <w:r>
              <w:rPr>
                <w:rFonts w:ascii="Arial" w:hAnsi="Arial"/>
                <w:b/>
                <w:color w:val="187D78"/>
                <w:sz w:val="17"/>
              </w:rPr>
              <w:t xml:space="preserve">05  </w:t>
            </w:r>
            <w:r>
              <w:rPr>
                <w:rFonts w:ascii="Arial" w:hAnsi="Arial"/>
                <w:b/>
                <w:color w:val="173B57"/>
                <w:sz w:val="22"/>
              </w:rPr>
              <w:t>Pacing, sleep, and daily routine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Break tasks into manageable parts, alternate activity and rest, and keep sleep and wake times consistent.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Aim to reduce the repeated ‘overdo, then crash’ cycle.</w:t>
            </w:r>
          </w:p>
        </w:tc>
        <w:tc>
          <w:tcPr>
            <w:tcW w:type="dxa" w:w="5155"/>
            <w:vAlign w:val="top"/>
            <w:shd w:fill="F6F9FB"/>
            <w:tcBorders>
              <w:top w:val="single" w:sz="6" w:color="D7E1E7"/>
              <w:start w:val="single" w:sz="6" w:color="D7E1E7"/>
              <w:bottom w:val="single" w:sz="6" w:color="D7E1E7"/>
              <w:end w:val="single" w:sz="6" w:color="D7E1E7"/>
              <w:insideH w:val="single" w:sz="6" w:color="D7E1E7"/>
              <w:insideV w:val="single" w:sz="6" w:color="D7E1E7"/>
            </w:tcBorders>
            <w:tcMar>
              <w:top w:w="155" w:type="dxa"/>
              <w:start w:w="115" w:type="dxa"/>
              <w:bottom w:w="125" w:type="dxa"/>
              <w:end w:w="115" w:type="dxa"/>
            </w:tcMar>
          </w:tcPr>
          <w:p>
            <w:pPr>
              <w:keepNext/>
              <w:spacing w:after="60"/>
            </w:pPr>
            <w:r>
              <w:rPr>
                <w:rFonts w:ascii="Arial" w:hAnsi="Arial"/>
                <w:b/>
                <w:color w:val="187D78"/>
                <w:sz w:val="17"/>
              </w:rPr>
              <w:t xml:space="preserve">06  </w:t>
            </w:r>
            <w:r>
              <w:rPr>
                <w:rFonts w:ascii="Arial" w:hAnsi="Arial"/>
                <w:b/>
                <w:color w:val="173B57"/>
                <w:sz w:val="22"/>
              </w:rPr>
              <w:t>Hands-on and clinician-guided options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Massage, acupuncture, music-based approaches, or other therapies may help some conditions.</w:t>
            </w:r>
          </w:p>
          <w:p>
            <w:pPr>
              <w:spacing w:after="50" w:line="250" w:lineRule="auto"/>
              <w:ind w:left="187" w:hanging="187"/>
            </w:pPr>
            <w:r>
              <w:rPr>
                <w:rFonts w:ascii="Arial" w:hAnsi="Arial"/>
                <w:b/>
                <w:color w:val="187D78"/>
                <w:sz w:val="18"/>
              </w:rPr>
              <w:t xml:space="preserve">• </w:t>
            </w:r>
            <w:r>
              <w:rPr>
                <w:rFonts w:ascii="Arial" w:hAnsi="Arial"/>
                <w:color w:val="232B31"/>
                <w:sz w:val="18"/>
              </w:rPr>
              <w:t>Use qualified practitioners and ask whether an option is safe for your diagnosis.</w:t>
            </w:r>
          </w:p>
        </w:tc>
      </w:tr>
    </w:tbl>
    <w:p>
      <w:pPr>
        <w:spacing w:before="120" w:after="60"/>
      </w:pPr>
      <w:r>
        <w:rPr>
          <w:rFonts w:ascii="Arial" w:hAnsi="Arial"/>
          <w:b/>
          <w:color w:val="187D78"/>
          <w:sz w:val="17"/>
        </w:rPr>
        <w:t>MAKE IT PERSONAL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5C666E"/>
                <w:sz w:val="17"/>
              </w:rPr>
              <w:t>Activity I want pain to interfere with less</w:t>
              <w:br/>
            </w:r>
            <w:r>
              <w:rPr>
                <w:rFonts w:ascii="Arial" w:hAnsi="Arial"/>
                <w:color w:val="232B31"/>
                <w:sz w:val="17"/>
              </w:rPr>
              <w:t>________________________________________</w:t>
            </w:r>
          </w:p>
        </w:tc>
        <w:tc>
          <w:tcPr>
            <w:tcW w:type="dxa" w:w="5227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5C666E"/>
                <w:sz w:val="17"/>
              </w:rPr>
              <w:t>One option I want to discuss or try</w:t>
              <w:br/>
            </w:r>
            <w:r>
              <w:rPr>
                <w:rFonts w:ascii="Arial" w:hAnsi="Arial"/>
                <w:color w:val="232B31"/>
                <w:sz w:val="17"/>
              </w:rPr>
              <w:t>________________________________________</w:t>
            </w:r>
          </w:p>
        </w:tc>
      </w:tr>
      <w:tr>
        <w:tc>
          <w:tcPr>
            <w:tcW w:type="dxa" w:w="5227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5C666E"/>
                <w:sz w:val="17"/>
              </w:rPr>
              <w:t>How often I plan to use it</w:t>
              <w:br/>
            </w:r>
            <w:r>
              <w:rPr>
                <w:rFonts w:ascii="Arial" w:hAnsi="Arial"/>
                <w:color w:val="232B31"/>
                <w:sz w:val="17"/>
              </w:rPr>
              <w:t>________________________________________</w:t>
            </w:r>
          </w:p>
        </w:tc>
        <w:tc>
          <w:tcPr>
            <w:tcW w:type="dxa" w:w="5227"/>
            <w:shd w:fill="FFFFFF"/>
            <w:tcBorders>
              <w:top w:val="single" w:sz="5" w:color="D9D9D9"/>
              <w:start w:val="single" w:sz="5" w:color="D9D9D9"/>
              <w:bottom w:val="single" w:sz="5" w:color="D9D9D9"/>
              <w:end w:val="single" w:sz="5" w:color="D9D9D9"/>
              <w:insideH w:val="single" w:sz="5" w:color="D9D9D9"/>
              <w:insideV w:val="single" w:sz="5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5C666E"/>
                <w:sz w:val="17"/>
              </w:rPr>
              <w:t>I will know it helps if</w:t>
              <w:br/>
            </w:r>
            <w:r>
              <w:rPr>
                <w:rFonts w:ascii="Arial" w:hAnsi="Arial"/>
                <w:color w:val="232B31"/>
                <w:sz w:val="17"/>
              </w:rPr>
              <w:t>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7"/>
        <w:gridCol w:w="9446"/>
      </w:tblGrid>
      <w:tr>
        <w:tc>
          <w:tcPr>
            <w:tcW w:type="dxa" w:w="1007"/>
            <w:shd w:fill="173B57"/>
            <w:tcBorders>
              <w:top w:val="single" w:sz="0" w:color="173B57"/>
              <w:start w:val="single" w:sz="0" w:color="173B57"/>
              <w:bottom w:val="single" w:sz="0" w:color="173B57"/>
              <w:end w:val="single" w:sz="0" w:color="173B57"/>
              <w:insideH w:val="single" w:sz="0" w:color="173B57"/>
              <w:insideV w:val="single" w:sz="0" w:color="173B57"/>
            </w:tcBorders>
            <w:tcMar>
              <w:top w:w="95" w:type="dxa"/>
              <w:start w:w="40" w:type="dxa"/>
              <w:bottom w:w="95" w:type="dxa"/>
              <w:end w:w="4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SAFETY</w:t>
            </w:r>
          </w:p>
        </w:tc>
        <w:tc>
          <w:tcPr>
            <w:tcW w:type="dxa" w:w="9446"/>
            <w:shd w:fill="F1F4F6"/>
            <w:tcBorders>
              <w:top w:val="single" w:sz="0" w:color="F1F4F6"/>
              <w:start w:val="single" w:sz="0" w:color="F1F4F6"/>
              <w:bottom w:val="single" w:sz="0" w:color="F1F4F6"/>
              <w:end w:val="single" w:sz="0" w:color="F1F4F6"/>
              <w:insideH w:val="single" w:sz="0" w:color="F1F4F6"/>
              <w:insideV w:val="single" w:sz="0" w:color="F1F4F6"/>
            </w:tcBorders>
            <w:tcMar>
              <w:top w:w="90" w:type="dxa"/>
              <w:start w:w="95" w:type="dxa"/>
              <w:bottom w:w="90" w:type="dxa"/>
              <w:end w:w="95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32B31"/>
                <w:sz w:val="17"/>
              </w:rPr>
              <w:t>Stop and contact a healthcare professional if an approach causes new or worsening symptoms. Call 911 in the United States—or local emergency services—for severe or life-threatening symptoms.</w:t>
            </w:r>
          </w:p>
        </w:tc>
      </w:tr>
    </w:tbl>
    <w:p>
      <w:pPr>
        <w:spacing w:before="60" w:after="0" w:line="240" w:lineRule="auto"/>
      </w:pPr>
      <w:r>
        <w:rPr>
          <w:rFonts w:ascii="Arial" w:hAnsi="Arial"/>
          <w:i/>
          <w:color w:val="5C666E"/>
          <w:sz w:val="14"/>
        </w:rPr>
        <w:t xml:space="preserve">This handout provides general education. It does not diagnose a condition, recommend a specific treatment, replace professional medical advice, or create a clinician-patient relationship. </w:t>
      </w:r>
      <w:r>
        <w:rPr>
          <w:rFonts w:ascii="Arial" w:hAnsi="Arial"/>
          <w:b/>
          <w:color w:val="5C666E"/>
          <w:sz w:val="14"/>
        </w:rPr>
        <w:t xml:space="preserve">Sources: </w:t>
      </w:r>
      <w:hyperlink r:id="rId10">
        <w:r>
          <w:rPr>
            <w:rFonts w:ascii="Arial" w:hAnsi="Arial"/>
            <w:color w:val="187D78"/>
            <w:u w:val="single"/>
            <w:sz w:val="14"/>
          </w:rPr>
          <w:t>CDC Pain Management</w:t>
        </w:r>
      </w:hyperlink>
      <w:r>
        <w:rPr>
          <w:rFonts w:ascii="Arial" w:hAnsi="Arial"/>
          <w:color w:val="5C666E"/>
          <w:sz w:val="14"/>
        </w:rPr>
        <w:t xml:space="preserve">  •  </w:t>
      </w:r>
      <w:hyperlink r:id="rId11">
        <w:r>
          <w:rPr>
            <w:rFonts w:ascii="Arial" w:hAnsi="Arial"/>
            <w:color w:val="187D78"/>
            <w:u w:val="single"/>
            <w:sz w:val="14"/>
          </w:rPr>
          <w:t>NIH NCCIH Chronic Pain</w:t>
        </w:r>
      </w:hyperlink>
    </w:p>
    <w:sectPr w:rsidR="00FC693F" w:rsidRPr="0006063C" w:rsidSect="00034616">
      <w:footerReference w:type="default" r:id="rId9"/>
      <w:pgSz w:w="12240" w:h="15840"/>
      <w:pgMar w:top="605" w:right="893" w:bottom="605" w:left="893" w:header="720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056"/>
      <w:gridCol w:w="3398"/>
    </w:tblGrid>
    <w:tr>
      <w:tc>
        <w:tcPr>
          <w:tcW w:type="dxa" w:w="7056"/>
          <w:tcBorders>
            <w:top w:val="single" w:sz="0" w:color="FFFFFF"/>
            <w:start w:val="single" w:sz="0" w:color="FFFFFF"/>
            <w:bottom w:val="single" w:sz="0" w:color="FFFFFF"/>
            <w:end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color w:val="5C666E"/>
              <w:sz w:val="14"/>
            </w:rPr>
            <w:t>Educational resource • September 2026</w:t>
          </w:r>
        </w:p>
      </w:tc>
      <w:tc>
        <w:tcPr>
          <w:tcW w:type="dxa" w:w="3398"/>
          <w:tcBorders>
            <w:top w:val="single" w:sz="0" w:color="FFFFFF"/>
            <w:start w:val="single" w:sz="0" w:color="FFFFFF"/>
            <w:bottom w:val="single" w:sz="0" w:color="FFFFFF"/>
            <w:end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187D78"/>
              <w:sz w:val="14"/>
            </w:rPr>
            <w:t>Lean Pain Relief Initiative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color w:val="232B3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cdc.gov/overdose-prevention/manage-treat-pain/manage-pain-with-doctor.html" TargetMode="External"/><Relationship Id="rId11" Type="http://schemas.openxmlformats.org/officeDocument/2006/relationships/hyperlink" Target="https://www.nccih.nih.gov/health/chronic-pain-and-complementary-health-approaches-usefulness-and-saf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Nonmedication Options for Pain Relief</dc:title>
  <dc:subject>One-page patient handout from the Lean Pain Relief Initiative</dc:subject>
  <dc:creator>Lean Pain Relief Initiative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