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187D78"/>
            <w:tcBorders>
              <w:top w:val="single" w:sz="0" w:color="187D78"/>
              <w:start w:val="single" w:sz="0" w:color="187D78"/>
              <w:bottom w:val="single" w:sz="0" w:color="187D78"/>
              <w:end w:val="single" w:sz="0" w:color="187D78"/>
              <w:insideH w:val="single" w:sz="0" w:color="187D78"/>
              <w:insideV w:val="single" w:sz="0" w:color="187D78"/>
            </w:tcBorders>
            <w:tcMar>
              <w:top w:w="72" w:type="dxa"/>
              <w:start w:w="120" w:type="dxa"/>
              <w:bottom w:w="72" w:type="dxa"/>
              <w:end w:w="120" w:type="dxa"/>
            </w:tcMar>
          </w:tcPr>
          <w:p>
            <w:pPr>
              <w:spacing w:after="0"/>
              <w:jc w:val="center"/>
            </w:pPr>
            <w:r>
              <w:rPr>
                <w:rFonts w:ascii="Arial" w:hAnsi="Arial"/>
                <w:b/>
                <w:color w:val="FFFFFF"/>
                <w:sz w:val="19"/>
              </w:rPr>
              <w:t>LEAN PAIN RELIEF INITIATIVE</w:t>
            </w:r>
          </w:p>
        </w:tc>
      </w:tr>
    </w:tbl>
    <w:p>
      <w:pPr>
        <w:pStyle w:val="Title"/>
        <w:spacing w:before="80" w:after="0"/>
      </w:pPr>
      <w:r>
        <w:rPr>
          <w:rFonts w:ascii="Arial" w:hAnsi="Arial"/>
          <w:b/>
          <w:color w:val="000000"/>
          <w:sz w:val="46"/>
        </w:rPr>
        <w:t>PAINAD Assessment Tool</w:t>
      </w:r>
    </w:p>
    <w:p>
      <w:pPr>
        <w:spacing w:after="40"/>
      </w:pPr>
      <w:r>
        <w:rPr>
          <w:rFonts w:ascii="Arial" w:hAnsi="Arial"/>
          <w:b/>
          <w:color w:val="173B57"/>
          <w:sz w:val="23"/>
        </w:rPr>
        <w:t>Pain Assessment in Advanced Dementia</w:t>
      </w:r>
      <w:r>
        <w:rPr>
          <w:rFonts w:ascii="Arial" w:hAnsi="Arial"/>
          <w:color w:val="5C666E"/>
          <w:sz w:val="21"/>
        </w:rPr>
        <w:t xml:space="preserve">  •  Large print nurse reference and scoring record</w:t>
      </w:r>
    </w:p>
    <w:p>
      <w:pPr>
        <w:spacing w:after="60" w:line="245" w:lineRule="auto"/>
      </w:pPr>
      <w:r>
        <w:rPr>
          <w:rFonts w:ascii="Arial" w:hAnsi="Arial"/>
          <w:b/>
          <w:color w:val="232B31"/>
          <w:sz w:val="20"/>
        </w:rPr>
        <w:t xml:space="preserve">Use when reliable self report is not possible. </w:t>
      </w:r>
      <w:r>
        <w:rPr>
          <w:rFonts w:ascii="Arial" w:hAnsi="Arial"/>
          <w:color w:val="232B31"/>
          <w:sz w:val="20"/>
        </w:rPr>
        <w:t>Observe at rest and during movement or care when safe. Select one score in each row, then add the five scores.</w:t>
      </w:r>
    </w:p>
    <w:tbl>
      <w:tblPr>
        <w:tblW w:type="auto" w:w="0"/>
        <w:jc w:val="center"/>
        <w:tblLayout w:type="fixed"/>
        <w:tblLook w:firstColumn="1" w:firstRow="1" w:lastColumn="0" w:lastRow="0" w:noHBand="0" w:noVBand="1" w:val="04A0"/>
      </w:tblPr>
      <w:tblGrid>
        <w:gridCol w:w="3384"/>
        <w:gridCol w:w="2520"/>
        <w:gridCol w:w="2520"/>
        <w:gridCol w:w="2376"/>
      </w:tblGrid>
      <w:tr>
        <w:tc>
          <w:tcPr>
            <w:tcW w:type="dxa" w:w="3384"/>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5" w:type="dxa"/>
              <w:start w:w="88" w:type="dxa"/>
              <w:bottom w:w="55" w:type="dxa"/>
              <w:end w:w="88" w:type="dxa"/>
            </w:tcMar>
          </w:tcPr>
          <w:p>
            <w:pPr>
              <w:spacing w:after="0" w:line="245" w:lineRule="auto"/>
            </w:pPr>
            <w:r>
              <w:rPr>
                <w:rFonts w:ascii="Arial" w:hAnsi="Arial"/>
                <w:b/>
                <w:color w:val="5C666E"/>
                <w:sz w:val="16"/>
              </w:rPr>
              <w:t>Patient name or ID</w:t>
              <w:br/>
            </w:r>
            <w:r>
              <w:rPr>
                <w:rFonts w:ascii="Arial" w:hAnsi="Arial"/>
                <w:color w:val="232B31"/>
                <w:sz w:val="20"/>
              </w:rPr>
              <w:t>________________________</w:t>
            </w:r>
          </w:p>
        </w:tc>
        <w:tc>
          <w:tcPr>
            <w:tcW w:type="dxa" w:w="252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5" w:type="dxa"/>
              <w:start w:w="88" w:type="dxa"/>
              <w:bottom w:w="55" w:type="dxa"/>
              <w:end w:w="88" w:type="dxa"/>
            </w:tcMar>
          </w:tcPr>
          <w:p>
            <w:pPr>
              <w:spacing w:after="0" w:line="245" w:lineRule="auto"/>
            </w:pPr>
            <w:r>
              <w:rPr>
                <w:rFonts w:ascii="Arial" w:hAnsi="Arial"/>
                <w:b/>
                <w:color w:val="5C666E"/>
                <w:sz w:val="16"/>
              </w:rPr>
              <w:t>Date</w:t>
              <w:br/>
            </w:r>
            <w:r>
              <w:rPr>
                <w:rFonts w:ascii="Arial" w:hAnsi="Arial"/>
                <w:color w:val="232B31"/>
                <w:sz w:val="20"/>
              </w:rPr>
              <w:t>_______________</w:t>
            </w:r>
          </w:p>
        </w:tc>
        <w:tc>
          <w:tcPr>
            <w:tcW w:type="dxa" w:w="252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5" w:type="dxa"/>
              <w:start w:w="88" w:type="dxa"/>
              <w:bottom w:w="55" w:type="dxa"/>
              <w:end w:w="88" w:type="dxa"/>
            </w:tcMar>
          </w:tcPr>
          <w:p>
            <w:pPr>
              <w:spacing w:after="0" w:line="245" w:lineRule="auto"/>
            </w:pPr>
            <w:r>
              <w:rPr>
                <w:rFonts w:ascii="Arial" w:hAnsi="Arial"/>
                <w:b/>
                <w:color w:val="5C666E"/>
                <w:sz w:val="16"/>
              </w:rPr>
              <w:t>Time</w:t>
              <w:br/>
            </w:r>
            <w:r>
              <w:rPr>
                <w:rFonts w:ascii="Arial" w:hAnsi="Arial"/>
                <w:color w:val="232B31"/>
                <w:sz w:val="20"/>
              </w:rPr>
              <w:t>_______________</w:t>
            </w:r>
          </w:p>
        </w:tc>
        <w:tc>
          <w:tcPr>
            <w:tcW w:type="dxa" w:w="2376"/>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5" w:type="dxa"/>
              <w:start w:w="88" w:type="dxa"/>
              <w:bottom w:w="55" w:type="dxa"/>
              <w:end w:w="88" w:type="dxa"/>
            </w:tcMar>
          </w:tcPr>
          <w:p>
            <w:pPr>
              <w:spacing w:after="0" w:line="245" w:lineRule="auto"/>
            </w:pPr>
            <w:r>
              <w:rPr>
                <w:rFonts w:ascii="Arial" w:hAnsi="Arial"/>
                <w:b/>
                <w:color w:val="5C666E"/>
                <w:sz w:val="16"/>
              </w:rPr>
              <w:t>Nurse initials</w:t>
              <w:br/>
            </w:r>
            <w:r>
              <w:rPr>
                <w:rFonts w:ascii="Arial" w:hAnsi="Arial"/>
                <w:color w:val="232B31"/>
                <w:sz w:val="20"/>
              </w:rPr>
              <w:t>______________</w:t>
            </w:r>
          </w:p>
        </w:tc>
      </w:tr>
    </w:tbl>
    <w:p>
      <w:pPr>
        <w:spacing w:before="30" w:after="40"/>
      </w:pPr>
      <w:r>
        <w:rPr>
          <w:rFonts w:ascii="Arial" w:hAnsi="Arial"/>
          <w:b/>
          <w:color w:val="5C666E"/>
          <w:sz w:val="18"/>
        </w:rPr>
        <w:t xml:space="preserve">Observation context  </w:t>
      </w:r>
      <w:r>
        <w:rPr>
          <w:rFonts w:ascii="DejaVu Sans" w:hAnsi="DejaVu Sans"/>
          <w:color w:val="232B31"/>
          <w:sz w:val="19"/>
        </w:rPr>
        <w:t>□ At rest   □ During movement   □ During care   □ Before intervention   □ After intervention</w:t>
      </w:r>
    </w:p>
    <w:tbl>
      <w:tblPr>
        <w:tblW w:type="auto" w:w="0"/>
        <w:jc w:val="center"/>
        <w:tblLayout w:type="fixed"/>
        <w:tblLook w:firstColumn="1" w:firstRow="1" w:lastColumn="0" w:lastRow="0" w:noHBand="0" w:noVBand="1" w:val="04A0"/>
      </w:tblPr>
      <w:tblGrid>
        <w:gridCol w:w="1915"/>
        <w:gridCol w:w="2332"/>
        <w:gridCol w:w="2505"/>
        <w:gridCol w:w="3110"/>
        <w:gridCol w:w="936"/>
      </w:tblGrid>
      <w:tr>
        <w:tc>
          <w:tcPr>
            <w:tcW w:type="dxa" w:w="1915"/>
            <w:vAlign w:val="center"/>
            <w:shd w:fill="173B57"/>
            <w:tcBorders>
              <w:top w:val="single" w:sz="6" w:color="D9D9D9"/>
              <w:start w:val="single" w:sz="6" w:color="D9D9D9"/>
              <w:bottom w:val="single" w:sz="6" w:color="D9D9D9"/>
              <w:end w:val="single" w:sz="6" w:color="D9D9D9"/>
              <w:insideH w:val="single" w:sz="6" w:color="D9D9D9"/>
              <w:insideV w:val="single" w:sz="6" w:color="D9D9D9"/>
            </w:tcBorders>
            <w:tcMar>
              <w:top w:w="64" w:type="dxa"/>
              <w:start w:w="88" w:type="dxa"/>
              <w:bottom w:w="64" w:type="dxa"/>
              <w:end w:w="88" w:type="dxa"/>
            </w:tcMar>
          </w:tcPr>
          <w:p>
            <w:pPr>
              <w:spacing w:after="0" w:line="245" w:lineRule="auto"/>
              <w:jc w:val="center"/>
            </w:pPr>
            <w:r>
              <w:rPr>
                <w:rFonts w:ascii="Arial" w:hAnsi="Arial"/>
                <w:b/>
                <w:color w:val="FFFFFF"/>
                <w:sz w:val="22"/>
              </w:rPr>
              <w:t>Behavior</w:t>
            </w:r>
          </w:p>
        </w:tc>
        <w:tc>
          <w:tcPr>
            <w:tcW w:type="dxa" w:w="2332"/>
            <w:vAlign w:val="center"/>
            <w:shd w:fill="173B57"/>
            <w:tcBorders>
              <w:top w:val="single" w:sz="6" w:color="D9D9D9"/>
              <w:start w:val="single" w:sz="6" w:color="D9D9D9"/>
              <w:bottom w:val="single" w:sz="6" w:color="D9D9D9"/>
              <w:end w:val="single" w:sz="6" w:color="D9D9D9"/>
              <w:insideH w:val="single" w:sz="6" w:color="D9D9D9"/>
              <w:insideV w:val="single" w:sz="6" w:color="D9D9D9"/>
            </w:tcBorders>
            <w:tcMar>
              <w:top w:w="64" w:type="dxa"/>
              <w:start w:w="88" w:type="dxa"/>
              <w:bottom w:w="64" w:type="dxa"/>
              <w:end w:w="88" w:type="dxa"/>
            </w:tcMar>
          </w:tcPr>
          <w:p>
            <w:pPr>
              <w:spacing w:after="0" w:line="245" w:lineRule="auto"/>
              <w:jc w:val="center"/>
            </w:pPr>
            <w:r>
              <w:rPr>
                <w:rFonts w:ascii="Arial" w:hAnsi="Arial"/>
                <w:b/>
                <w:color w:val="FFFFFF"/>
                <w:sz w:val="22"/>
              </w:rPr>
              <w:t>0</w:t>
            </w:r>
          </w:p>
        </w:tc>
        <w:tc>
          <w:tcPr>
            <w:tcW w:type="dxa" w:w="2505"/>
            <w:vAlign w:val="center"/>
            <w:shd w:fill="173B57"/>
            <w:tcBorders>
              <w:top w:val="single" w:sz="6" w:color="D9D9D9"/>
              <w:start w:val="single" w:sz="6" w:color="D9D9D9"/>
              <w:bottom w:val="single" w:sz="6" w:color="D9D9D9"/>
              <w:end w:val="single" w:sz="6" w:color="D9D9D9"/>
              <w:insideH w:val="single" w:sz="6" w:color="D9D9D9"/>
              <w:insideV w:val="single" w:sz="6" w:color="D9D9D9"/>
            </w:tcBorders>
            <w:tcMar>
              <w:top w:w="64" w:type="dxa"/>
              <w:start w:w="88" w:type="dxa"/>
              <w:bottom w:w="64" w:type="dxa"/>
              <w:end w:w="88" w:type="dxa"/>
            </w:tcMar>
          </w:tcPr>
          <w:p>
            <w:pPr>
              <w:spacing w:after="0" w:line="245" w:lineRule="auto"/>
              <w:jc w:val="center"/>
            </w:pPr>
            <w:r>
              <w:rPr>
                <w:rFonts w:ascii="Arial" w:hAnsi="Arial"/>
                <w:b/>
                <w:color w:val="FFFFFF"/>
                <w:sz w:val="22"/>
              </w:rPr>
              <w:t>1</w:t>
            </w:r>
          </w:p>
        </w:tc>
        <w:tc>
          <w:tcPr>
            <w:tcW w:type="dxa" w:w="3110"/>
            <w:vAlign w:val="center"/>
            <w:shd w:fill="173B57"/>
            <w:tcBorders>
              <w:top w:val="single" w:sz="6" w:color="D9D9D9"/>
              <w:start w:val="single" w:sz="6" w:color="D9D9D9"/>
              <w:bottom w:val="single" w:sz="6" w:color="D9D9D9"/>
              <w:end w:val="single" w:sz="6" w:color="D9D9D9"/>
              <w:insideH w:val="single" w:sz="6" w:color="D9D9D9"/>
              <w:insideV w:val="single" w:sz="6" w:color="D9D9D9"/>
            </w:tcBorders>
            <w:tcMar>
              <w:top w:w="64" w:type="dxa"/>
              <w:start w:w="88" w:type="dxa"/>
              <w:bottom w:w="64" w:type="dxa"/>
              <w:end w:w="88" w:type="dxa"/>
            </w:tcMar>
          </w:tcPr>
          <w:p>
            <w:pPr>
              <w:spacing w:after="0" w:line="245" w:lineRule="auto"/>
              <w:jc w:val="center"/>
            </w:pPr>
            <w:r>
              <w:rPr>
                <w:rFonts w:ascii="Arial" w:hAnsi="Arial"/>
                <w:b/>
                <w:color w:val="FFFFFF"/>
                <w:sz w:val="22"/>
              </w:rPr>
              <w:t>2</w:t>
            </w:r>
          </w:p>
        </w:tc>
        <w:tc>
          <w:tcPr>
            <w:tcW w:type="dxa" w:w="936"/>
            <w:vAlign w:val="center"/>
            <w:shd w:fill="173B57"/>
            <w:tcBorders>
              <w:top w:val="single" w:sz="6" w:color="D9D9D9"/>
              <w:start w:val="single" w:sz="6" w:color="D9D9D9"/>
              <w:bottom w:val="single" w:sz="6" w:color="D9D9D9"/>
              <w:end w:val="single" w:sz="6" w:color="D9D9D9"/>
              <w:insideH w:val="single" w:sz="6" w:color="D9D9D9"/>
              <w:insideV w:val="single" w:sz="6" w:color="D9D9D9"/>
            </w:tcBorders>
            <w:tcMar>
              <w:top w:w="64" w:type="dxa"/>
              <w:start w:w="88" w:type="dxa"/>
              <w:bottom w:w="64" w:type="dxa"/>
              <w:end w:w="88" w:type="dxa"/>
            </w:tcMar>
          </w:tcPr>
          <w:p>
            <w:pPr>
              <w:spacing w:after="0" w:line="245" w:lineRule="auto"/>
              <w:jc w:val="center"/>
            </w:pPr>
            <w:r>
              <w:rPr>
                <w:rFonts w:ascii="Arial" w:hAnsi="Arial"/>
                <w:b/>
                <w:color w:val="FFFFFF"/>
                <w:sz w:val="22"/>
              </w:rPr>
              <w:t>Score</w:t>
            </w:r>
          </w:p>
        </w:tc>
      </w:tr>
      <w:tr>
        <w:trPr>
          <w:cantSplit/>
        </w:trPr>
        <w:tc>
          <w:tcPr>
            <w:tcW w:type="dxa" w:w="1915"/>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b/>
                <w:color w:val="173B57"/>
                <w:sz w:val="20"/>
              </w:rPr>
              <w:t>Breathing independent of vocalization</w:t>
            </w:r>
          </w:p>
        </w:tc>
        <w:tc>
          <w:tcPr>
            <w:tcW w:type="dxa" w:w="2332"/>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Usual and unlabored</w:t>
            </w:r>
          </w:p>
        </w:tc>
        <w:tc>
          <w:tcPr>
            <w:tcW w:type="dxa" w:w="2505"/>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Intermittent effort or a brief period of faster breathing</w:t>
            </w:r>
          </w:p>
        </w:tc>
        <w:tc>
          <w:tcPr>
            <w:tcW w:type="dxa" w:w="311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Noisy or sustained effort; prolonged rapid breathing; Cheyne-Stokes pattern</w:t>
            </w:r>
          </w:p>
        </w:tc>
        <w:tc>
          <w:tcPr>
            <w:tcW w:type="dxa" w:w="936"/>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jc w:val="center"/>
            </w:pPr>
            <w:r>
              <w:rPr>
                <w:rFonts w:ascii="Arial" w:hAnsi="Arial"/>
                <w:b/>
                <w:color w:val="232B31"/>
                <w:sz w:val="25"/>
              </w:rPr>
              <w:t>____</w:t>
            </w:r>
          </w:p>
        </w:tc>
      </w:tr>
      <w:tr>
        <w:trPr>
          <w:cantSplit/>
        </w:trPr>
        <w:tc>
          <w:tcPr>
            <w:tcW w:type="dxa" w:w="1915"/>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b/>
                <w:color w:val="173B57"/>
                <w:sz w:val="20"/>
              </w:rPr>
              <w:t>Negative vocalization</w:t>
            </w:r>
          </w:p>
        </w:tc>
        <w:tc>
          <w:tcPr>
            <w:tcW w:type="dxa" w:w="2332"/>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No negative sounds or speech</w:t>
            </w:r>
          </w:p>
        </w:tc>
        <w:tc>
          <w:tcPr>
            <w:tcW w:type="dxa" w:w="2505"/>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Occasional quiet moan or groan; low disapproving speech</w:t>
            </w:r>
          </w:p>
        </w:tc>
        <w:tc>
          <w:tcPr>
            <w:tcW w:type="dxa" w:w="3110"/>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Repeated distressed calls; loud moaning or groaning; crying</w:t>
            </w:r>
          </w:p>
        </w:tc>
        <w:tc>
          <w:tcPr>
            <w:tcW w:type="dxa" w:w="936"/>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jc w:val="center"/>
            </w:pPr>
            <w:r>
              <w:rPr>
                <w:rFonts w:ascii="Arial" w:hAnsi="Arial"/>
                <w:b/>
                <w:color w:val="232B31"/>
                <w:sz w:val="25"/>
              </w:rPr>
              <w:t>____</w:t>
            </w:r>
          </w:p>
        </w:tc>
      </w:tr>
      <w:tr>
        <w:trPr>
          <w:cantSplit/>
        </w:trPr>
        <w:tc>
          <w:tcPr>
            <w:tcW w:type="dxa" w:w="1915"/>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b/>
                <w:color w:val="173B57"/>
                <w:sz w:val="20"/>
              </w:rPr>
              <w:t>Facial expression</w:t>
            </w:r>
          </w:p>
        </w:tc>
        <w:tc>
          <w:tcPr>
            <w:tcW w:type="dxa" w:w="2332"/>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Neutral or smiling</w:t>
            </w:r>
          </w:p>
        </w:tc>
        <w:tc>
          <w:tcPr>
            <w:tcW w:type="dxa" w:w="2505"/>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Sad, fearful, or frowning</w:t>
            </w:r>
          </w:p>
        </w:tc>
        <w:tc>
          <w:tcPr>
            <w:tcW w:type="dxa" w:w="311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Marked grimacing</w:t>
            </w:r>
          </w:p>
        </w:tc>
        <w:tc>
          <w:tcPr>
            <w:tcW w:type="dxa" w:w="936"/>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jc w:val="center"/>
            </w:pPr>
            <w:r>
              <w:rPr>
                <w:rFonts w:ascii="Arial" w:hAnsi="Arial"/>
                <w:b/>
                <w:color w:val="232B31"/>
                <w:sz w:val="25"/>
              </w:rPr>
              <w:t>____</w:t>
            </w:r>
          </w:p>
        </w:tc>
      </w:tr>
      <w:tr>
        <w:trPr>
          <w:cantSplit/>
        </w:trPr>
        <w:tc>
          <w:tcPr>
            <w:tcW w:type="dxa" w:w="1915"/>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b/>
                <w:color w:val="173B57"/>
                <w:sz w:val="20"/>
              </w:rPr>
              <w:t>Body language</w:t>
            </w:r>
          </w:p>
        </w:tc>
        <w:tc>
          <w:tcPr>
            <w:tcW w:type="dxa" w:w="2332"/>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Relaxed posture</w:t>
            </w:r>
          </w:p>
        </w:tc>
        <w:tc>
          <w:tcPr>
            <w:tcW w:type="dxa" w:w="2505"/>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Tension, restless pacing, or fidgeting</w:t>
            </w:r>
          </w:p>
        </w:tc>
        <w:tc>
          <w:tcPr>
            <w:tcW w:type="dxa" w:w="3110"/>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Rigid posture; clenched fists; knees drawn up; pushes or pulls away; strikes out</w:t>
            </w:r>
          </w:p>
        </w:tc>
        <w:tc>
          <w:tcPr>
            <w:tcW w:type="dxa" w:w="936"/>
            <w:vAlign w:val="center"/>
            <w:shd w:fill="EDF4F8"/>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jc w:val="center"/>
            </w:pPr>
            <w:r>
              <w:rPr>
                <w:rFonts w:ascii="Arial" w:hAnsi="Arial"/>
                <w:b/>
                <w:color w:val="232B31"/>
                <w:sz w:val="25"/>
              </w:rPr>
              <w:t>____</w:t>
            </w:r>
          </w:p>
        </w:tc>
      </w:tr>
      <w:tr>
        <w:trPr>
          <w:cantSplit/>
        </w:trPr>
        <w:tc>
          <w:tcPr>
            <w:tcW w:type="dxa" w:w="1915"/>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b/>
                <w:color w:val="173B57"/>
                <w:sz w:val="20"/>
              </w:rPr>
              <w:t>Consolability</w:t>
            </w:r>
          </w:p>
        </w:tc>
        <w:tc>
          <w:tcPr>
            <w:tcW w:type="dxa" w:w="2332"/>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Comfortable without consoling</w:t>
            </w:r>
          </w:p>
        </w:tc>
        <w:tc>
          <w:tcPr>
            <w:tcW w:type="dxa" w:w="2505"/>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Settles with voice, touch, or distraction</w:t>
            </w:r>
          </w:p>
        </w:tc>
        <w:tc>
          <w:tcPr>
            <w:tcW w:type="dxa" w:w="311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pPr>
            <w:r>
              <w:rPr>
                <w:rFonts w:ascii="Arial" w:hAnsi="Arial"/>
                <w:color w:val="232B31"/>
                <w:sz w:val="20"/>
              </w:rPr>
              <w:t>Does not settle with reassurance, touch, or distraction</w:t>
            </w:r>
          </w:p>
        </w:tc>
        <w:tc>
          <w:tcPr>
            <w:tcW w:type="dxa" w:w="936"/>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82" w:type="dxa"/>
              <w:start w:w="88" w:type="dxa"/>
              <w:bottom w:w="82" w:type="dxa"/>
              <w:end w:w="88" w:type="dxa"/>
            </w:tcMar>
          </w:tcPr>
          <w:p>
            <w:pPr>
              <w:spacing w:after="0" w:line="245" w:lineRule="auto"/>
              <w:jc w:val="center"/>
            </w:pPr>
            <w:r>
              <w:rPr>
                <w:rFonts w:ascii="Arial" w:hAnsi="Arial"/>
                <w:b/>
                <w:color w:val="232B31"/>
                <w:sz w:val="25"/>
              </w:rPr>
              <w:t>____</w:t>
            </w:r>
          </w:p>
        </w:tc>
      </w:tr>
    </w:tbl>
    <w:tbl>
      <w:tblPr>
        <w:tblW w:type="auto" w:w="0"/>
        <w:jc w:val="center"/>
        <w:tblLayout w:type="fixed"/>
        <w:tblLook w:firstColumn="1" w:firstRow="1" w:lastColumn="0" w:lastRow="0" w:noHBand="0" w:noVBand="1" w:val="04A0"/>
      </w:tblPr>
      <w:tblGrid>
        <w:gridCol w:w="2520"/>
        <w:gridCol w:w="3888"/>
        <w:gridCol w:w="4392"/>
      </w:tblGrid>
      <w:tr>
        <w:tc>
          <w:tcPr>
            <w:tcW w:type="dxa" w:w="2520"/>
            <w:vAlign w:val="center"/>
            <w:shd w:fill="E8F4F2"/>
            <w:tcBorders>
              <w:top w:val="single" w:sz="6" w:color="D9D9D9"/>
              <w:start w:val="single" w:sz="6" w:color="D9D9D9"/>
              <w:bottom w:val="single" w:sz="6" w:color="D9D9D9"/>
              <w:end w:val="single" w:sz="6" w:color="D9D9D9"/>
              <w:insideH w:val="single" w:sz="6" w:color="D9D9D9"/>
              <w:insideV w:val="single" w:sz="6" w:color="D9D9D9"/>
            </w:tcBorders>
            <w:tcMar>
              <w:top w:w="62" w:type="dxa"/>
              <w:start w:w="88" w:type="dxa"/>
              <w:bottom w:w="62" w:type="dxa"/>
              <w:end w:w="88" w:type="dxa"/>
            </w:tcMar>
          </w:tcPr>
          <w:p>
            <w:pPr>
              <w:spacing w:after="0" w:line="245" w:lineRule="auto"/>
            </w:pPr>
            <w:r>
              <w:rPr>
                <w:rFonts w:ascii="Arial" w:hAnsi="Arial"/>
                <w:b/>
                <w:color w:val="5C666E"/>
                <w:sz w:val="17"/>
              </w:rPr>
              <w:t>PAINAD total</w:t>
              <w:br/>
            </w:r>
            <w:r>
              <w:rPr>
                <w:rFonts w:ascii="DejaVu Sans" w:hAnsi="DejaVu Sans"/>
                <w:b/>
                <w:color w:val="232B31"/>
                <w:sz w:val="22"/>
              </w:rPr>
              <w:t>______ / 10</w:t>
            </w:r>
          </w:p>
        </w:tc>
        <w:tc>
          <w:tcPr>
            <w:tcW w:type="dxa" w:w="3888"/>
            <w:vAlign w:val="center"/>
            <w:shd w:fill="E8F4F2"/>
            <w:tcBorders>
              <w:top w:val="single" w:sz="6" w:color="D9D9D9"/>
              <w:start w:val="single" w:sz="6" w:color="D9D9D9"/>
              <w:bottom w:val="single" w:sz="6" w:color="D9D9D9"/>
              <w:end w:val="single" w:sz="6" w:color="D9D9D9"/>
              <w:insideH w:val="single" w:sz="6" w:color="D9D9D9"/>
              <w:insideV w:val="single" w:sz="6" w:color="D9D9D9"/>
            </w:tcBorders>
            <w:tcMar>
              <w:top w:w="62" w:type="dxa"/>
              <w:start w:w="88" w:type="dxa"/>
              <w:bottom w:w="62" w:type="dxa"/>
              <w:end w:w="88" w:type="dxa"/>
            </w:tcMar>
          </w:tcPr>
          <w:p>
            <w:pPr>
              <w:spacing w:after="0" w:line="245" w:lineRule="auto"/>
            </w:pPr>
            <w:r>
              <w:rPr>
                <w:rFonts w:ascii="Arial" w:hAnsi="Arial"/>
                <w:b/>
                <w:color w:val="5C666E"/>
                <w:sz w:val="17"/>
              </w:rPr>
              <w:t>Change from prior score</w:t>
              <w:br/>
            </w:r>
            <w:r>
              <w:rPr>
                <w:rFonts w:ascii="DejaVu Sans" w:hAnsi="DejaVu Sans"/>
                <w:b/>
                <w:color w:val="232B31"/>
                <w:sz w:val="22"/>
              </w:rPr>
              <w:t>□ Lower   □ Same   □ Higher</w:t>
            </w:r>
          </w:p>
        </w:tc>
        <w:tc>
          <w:tcPr>
            <w:tcW w:type="dxa" w:w="4392"/>
            <w:vAlign w:val="center"/>
            <w:shd w:fill="E8F4F2"/>
            <w:tcBorders>
              <w:top w:val="single" w:sz="6" w:color="D9D9D9"/>
              <w:start w:val="single" w:sz="6" w:color="D9D9D9"/>
              <w:bottom w:val="single" w:sz="6" w:color="D9D9D9"/>
              <w:end w:val="single" w:sz="6" w:color="D9D9D9"/>
              <w:insideH w:val="single" w:sz="6" w:color="D9D9D9"/>
              <w:insideV w:val="single" w:sz="6" w:color="D9D9D9"/>
            </w:tcBorders>
            <w:tcMar>
              <w:top w:w="62" w:type="dxa"/>
              <w:start w:w="88" w:type="dxa"/>
              <w:bottom w:w="62" w:type="dxa"/>
              <w:end w:w="88" w:type="dxa"/>
            </w:tcMar>
          </w:tcPr>
          <w:p>
            <w:pPr>
              <w:spacing w:after="0" w:line="245" w:lineRule="auto"/>
            </w:pPr>
            <w:r>
              <w:rPr>
                <w:rFonts w:ascii="Arial" w:hAnsi="Arial"/>
                <w:b/>
                <w:color w:val="5C666E"/>
                <w:sz w:val="17"/>
              </w:rPr>
              <w:t>Behavior change from usual baseline</w:t>
              <w:br/>
            </w:r>
            <w:r>
              <w:rPr>
                <w:rFonts w:ascii="DejaVu Sans" w:hAnsi="DejaVu Sans"/>
                <w:b/>
                <w:color w:val="232B31"/>
                <w:sz w:val="22"/>
              </w:rPr>
              <w:t>□ No   □ Yes   □ Unknown</w:t>
            </w:r>
          </w:p>
        </w:tc>
      </w:tr>
    </w:tbl>
    <w:tbl>
      <w:tblPr>
        <w:tblW w:type="auto" w:w="0"/>
        <w:jc w:val="center"/>
        <w:tblLayout w:type="fixed"/>
        <w:tblLook w:firstColumn="1" w:firstRow="1" w:lastColumn="0" w:lastRow="0" w:noHBand="0" w:noVBand="1" w:val="04A0"/>
      </w:tblPr>
      <w:tblGrid>
        <w:gridCol w:w="5400"/>
        <w:gridCol w:w="5400"/>
      </w:tblGrid>
      <w:tr>
        <w:tc>
          <w:tcPr>
            <w:tcW w:type="dxa" w:w="540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8" w:type="dxa"/>
              <w:start w:w="88" w:type="dxa"/>
              <w:bottom w:w="58" w:type="dxa"/>
              <w:end w:w="88" w:type="dxa"/>
            </w:tcMar>
          </w:tcPr>
          <w:p>
            <w:pPr>
              <w:spacing w:after="0" w:line="245" w:lineRule="auto"/>
            </w:pPr>
            <w:r>
              <w:rPr>
                <w:rFonts w:ascii="Arial" w:hAnsi="Arial"/>
                <w:b/>
                <w:color w:val="5C666E"/>
                <w:sz w:val="16"/>
              </w:rPr>
              <w:t>Suspected pain location or trigger</w:t>
              <w:br/>
            </w:r>
            <w:r>
              <w:rPr>
                <w:rFonts w:ascii="Arial" w:hAnsi="Arial"/>
                <w:color w:val="232B31"/>
                <w:sz w:val="19"/>
              </w:rPr>
              <w:t>________________________________________</w:t>
            </w:r>
          </w:p>
        </w:tc>
        <w:tc>
          <w:tcPr>
            <w:tcW w:type="dxa" w:w="540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8" w:type="dxa"/>
              <w:start w:w="88" w:type="dxa"/>
              <w:bottom w:w="58" w:type="dxa"/>
              <w:end w:w="88" w:type="dxa"/>
            </w:tcMar>
          </w:tcPr>
          <w:p>
            <w:pPr>
              <w:spacing w:after="0" w:line="245" w:lineRule="auto"/>
            </w:pPr>
            <w:r>
              <w:rPr>
                <w:rFonts w:ascii="Arial" w:hAnsi="Arial"/>
                <w:b/>
                <w:color w:val="5C666E"/>
                <w:sz w:val="16"/>
              </w:rPr>
              <w:t>Caregiver input or usual pain behavior</w:t>
              <w:br/>
            </w:r>
            <w:r>
              <w:rPr>
                <w:rFonts w:ascii="Arial" w:hAnsi="Arial"/>
                <w:color w:val="232B31"/>
                <w:sz w:val="19"/>
              </w:rPr>
              <w:t>________________________________________</w:t>
            </w:r>
          </w:p>
        </w:tc>
      </w:tr>
      <w:tr>
        <w:tc>
          <w:tcPr>
            <w:tcW w:type="dxa" w:w="540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8" w:type="dxa"/>
              <w:start w:w="88" w:type="dxa"/>
              <w:bottom w:w="58" w:type="dxa"/>
              <w:end w:w="88" w:type="dxa"/>
            </w:tcMar>
          </w:tcPr>
          <w:p>
            <w:pPr>
              <w:spacing w:after="0" w:line="245" w:lineRule="auto"/>
            </w:pPr>
            <w:r>
              <w:rPr>
                <w:rFonts w:ascii="Arial" w:hAnsi="Arial"/>
                <w:b/>
                <w:color w:val="5C666E"/>
                <w:sz w:val="16"/>
              </w:rPr>
              <w:t>Intervention and time</w:t>
              <w:br/>
            </w:r>
            <w:r>
              <w:rPr>
                <w:rFonts w:ascii="Arial" w:hAnsi="Arial"/>
                <w:color w:val="232B31"/>
                <w:sz w:val="19"/>
              </w:rPr>
              <w:t>________________________________________</w:t>
            </w:r>
          </w:p>
        </w:tc>
        <w:tc>
          <w:tcPr>
            <w:tcW w:type="dxa" w:w="5400"/>
            <w:vAlign w:val="center"/>
            <w:shd w:fill="FFFFFF"/>
            <w:tcBorders>
              <w:top w:val="single" w:sz="6" w:color="D9D9D9"/>
              <w:start w:val="single" w:sz="6" w:color="D9D9D9"/>
              <w:bottom w:val="single" w:sz="6" w:color="D9D9D9"/>
              <w:end w:val="single" w:sz="6" w:color="D9D9D9"/>
              <w:insideH w:val="single" w:sz="6" w:color="D9D9D9"/>
              <w:insideV w:val="single" w:sz="6" w:color="D9D9D9"/>
            </w:tcBorders>
            <w:tcMar>
              <w:top w:w="58" w:type="dxa"/>
              <w:start w:w="88" w:type="dxa"/>
              <w:bottom w:w="58" w:type="dxa"/>
              <w:end w:w="88" w:type="dxa"/>
            </w:tcMar>
          </w:tcPr>
          <w:p>
            <w:pPr>
              <w:spacing w:after="0" w:line="245" w:lineRule="auto"/>
            </w:pPr>
            <w:r>
              <w:rPr>
                <w:rFonts w:ascii="Arial" w:hAnsi="Arial"/>
                <w:b/>
                <w:color w:val="5C666E"/>
                <w:sz w:val="16"/>
              </w:rPr>
              <w:t>Response and reassessment plan</w:t>
              <w:br/>
            </w:r>
            <w:r>
              <w:rPr>
                <w:rFonts w:ascii="Arial" w:hAnsi="Arial"/>
                <w:color w:val="232B31"/>
                <w:sz w:val="19"/>
              </w:rPr>
              <w:t>________________________________________</w:t>
            </w:r>
          </w:p>
        </w:tc>
      </w:tr>
    </w:tbl>
    <w:p>
      <w:pPr>
        <w:spacing w:before="40" w:after="20" w:line="240" w:lineRule="auto"/>
      </w:pPr>
      <w:r>
        <w:rPr>
          <w:rFonts w:ascii="Arial" w:hAnsi="Arial"/>
          <w:b/>
          <w:color w:val="187D78"/>
          <w:sz w:val="16"/>
        </w:rPr>
        <w:t xml:space="preserve">Clinical use  </w:t>
      </w:r>
      <w:r>
        <w:rPr>
          <w:rFonts w:ascii="Arial" w:hAnsi="Arial"/>
          <w:color w:val="232B31"/>
          <w:sz w:val="15"/>
        </w:rPr>
        <w:t>Attempt self report whenever possible. A PAINAD score reflects observed behaviors associated with pain; it is not a direct measure of pain intensity and should not be used alone as an automatic medication threshold. Compare with the person's usual behavior and consider nonpain causes such as delirium, fear, dyspnea, hunger, toileting needs, or infection.</w:t>
      </w:r>
    </w:p>
    <w:p>
      <w:pPr>
        <w:spacing w:after="0" w:line="240" w:lineRule="auto"/>
      </w:pPr>
      <w:r>
        <w:rPr>
          <w:rFonts w:ascii="Arial" w:hAnsi="Arial"/>
          <w:i/>
          <w:color w:val="5C666E"/>
          <w:sz w:val="14"/>
        </w:rPr>
        <w:t xml:space="preserve">This large print worksheet paraphrases PAINAD behavior cues for readability and is not the official validated form. Confirm the authorized PAINAD criteria and facility policy before clinical implementation. This resource does not replace assessment, clinical judgment, professional scope, or applicable law. </w:t>
      </w:r>
      <w:r>
        <w:rPr>
          <w:rFonts w:ascii="Arial" w:hAnsi="Arial"/>
          <w:b/>
          <w:color w:val="5C666E"/>
          <w:sz w:val="14"/>
        </w:rPr>
        <w:t xml:space="preserve">Reference: </w:t>
      </w:r>
      <w:r>
        <w:rPr>
          <w:rFonts w:ascii="Arial" w:hAnsi="Arial"/>
          <w:color w:val="5C666E"/>
          <w:sz w:val="14"/>
        </w:rPr>
        <w:t xml:space="preserve">Warden V, Hurley AC, Volicer L. J Am Med Dir Assoc. 2003;4:9-15. </w:t>
      </w:r>
      <w:hyperlink r:id="rId10">
        <w:r>
          <w:rPr>
            <w:rFonts w:ascii="Arial" w:hAnsi="Arial"/>
            <w:color w:val="187D78"/>
            <w:u w:val="single"/>
            <w:sz w:val="14"/>
          </w:rPr>
          <w:t>Authorized PAINAD resource</w:t>
        </w:r>
      </w:hyperlink>
    </w:p>
    <w:sectPr w:rsidR="00FC693F" w:rsidRPr="0006063C" w:rsidSect="00034616">
      <w:footerReference w:type="default" r:id="rId9"/>
      <w:pgSz w:w="12240" w:h="15840"/>
      <w:pgMar w:top="547" w:right="720" w:bottom="605" w:left="720" w:header="720"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7488"/>
      <w:gridCol w:w="3311"/>
    </w:tblGrid>
    <w:tr>
      <w:tc>
        <w:tcPr>
          <w:tcW w:type="dxa" w:w="7488"/>
          <w:tcBorders>
            <w:top w:val="single" w:sz="0" w:color="FFFFFF"/>
            <w:start w:val="single" w:sz="0" w:color="FFFFFF"/>
            <w:bottom w:val="single" w:sz="0" w:color="FFFFFF"/>
            <w:end w:val="single" w:sz="0" w:color="FFFFFF"/>
            <w:insideH w:val="single" w:sz="0" w:color="FFFFFF"/>
            <w:insideV w:val="single" w:sz="0" w:color="FFFFFF"/>
          </w:tcBorders>
          <w:tcMar>
            <w:top w:w="0" w:type="dxa"/>
            <w:start w:w="0" w:type="dxa"/>
            <w:bottom w:w="0" w:type="dxa"/>
            <w:end w:w="0" w:type="dxa"/>
          </w:tcMar>
        </w:tcPr>
        <w:p>
          <w:pPr>
            <w:spacing w:after="0"/>
          </w:pPr>
          <w:r>
            <w:rPr>
              <w:rFonts w:ascii="Arial" w:hAnsi="Arial"/>
              <w:color w:val="5C666E"/>
              <w:sz w:val="14"/>
            </w:rPr>
            <w:t>Large print clinical worksheet • September 2026</w:t>
          </w:r>
        </w:p>
      </w:tc>
      <w:tc>
        <w:tcPr>
          <w:tcW w:type="dxa" w:w="3311"/>
          <w:tcBorders>
            <w:top w:val="single" w:sz="0" w:color="FFFFFF"/>
            <w:start w:val="single" w:sz="0" w:color="FFFFFF"/>
            <w:bottom w:val="single" w:sz="0" w:color="FFFFFF"/>
            <w:end w:val="single" w:sz="0" w:color="FFFFFF"/>
            <w:insideH w:val="single" w:sz="0" w:color="FFFFFF"/>
            <w:insideV w:val="single" w:sz="0" w:color="FFFFFF"/>
          </w:tcBorders>
          <w:tcMar>
            <w:top w:w="0" w:type="dxa"/>
            <w:start w:w="0" w:type="dxa"/>
            <w:bottom w:w="0" w:type="dxa"/>
            <w:end w:w="0" w:type="dxa"/>
          </w:tcMar>
        </w:tcPr>
        <w:p>
          <w:pPr>
            <w:spacing w:after="0"/>
            <w:jc w:val="right"/>
          </w:pPr>
          <w:r>
            <w:rPr>
              <w:rFonts w:ascii="Arial" w:hAnsi="Arial"/>
              <w:b/>
              <w:color w:val="187D78"/>
              <w:sz w:val="14"/>
            </w:rPr>
            <w:t>Lean Pain Relief Initiative</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color w:val="232B3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geriatricpain.org/pain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PAINAD Assessment Tool</dc:title>
  <dc:subject>Large print PAINAD nurse reference and scoring record</dc:subject>
  <dc:creator>Lean Pain Relief Initiative</dc:creator>
  <cp:keywords/>
  <dc:description>generated by python-docx</dc:description>
  <cp:lastModifiedBy/>
  <cp:revision>1</cp:revision>
  <dcterms:created xsi:type="dcterms:W3CDTF">2013-12-23T23:15:00Z</dcterms:created>
  <dcterms:modified xsi:type="dcterms:W3CDTF">2013-12-23T23:15:00Z</dcterms:modified>
  <cp:category/>
</cp:coreProperties>
</file>