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drawing>
          <wp:inline xmlns:a="http://schemas.openxmlformats.org/drawingml/2006/main" xmlns:pic="http://schemas.openxmlformats.org/drawingml/2006/picture">
            <wp:extent cx="1600200" cy="1600200"/>
            <wp:docPr id="1" name="Picture 1"/>
            <wp:cNvGraphicFramePr>
              <a:graphicFrameLocks noChangeAspect="1"/>
            </wp:cNvGraphicFramePr>
            <a:graphic>
              <a:graphicData uri="http://schemas.openxmlformats.org/drawingml/2006/picture">
                <pic:pic>
                  <pic:nvPicPr>
                    <pic:cNvPr id="0" name="web main logo vertical 400 x 100px.png"/>
                    <pic:cNvPicPr/>
                  </pic:nvPicPr>
                  <pic:blipFill>
                    <a:blip r:embed="rId10"/>
                    <a:stretch>
                      <a:fillRect/>
                    </a:stretch>
                  </pic:blipFill>
                  <pic:spPr>
                    <a:xfrm>
                      <a:off x="0" y="0"/>
                      <a:ext cx="1600200" cy="1600200"/>
                    </a:xfrm>
                    <a:prstGeom prst="rect"/>
                  </pic:spPr>
                </pic:pic>
              </a:graphicData>
            </a:graphic>
          </wp:inline>
        </w:drawing>
      </w:r>
    </w:p>
    <w:p>
      <w:pPr>
        <w:jc w:val="center"/>
      </w:pPr>
      <w:r>
        <w:rPr>
          <w:b/>
          <w:color w:val="07879A"/>
          <w:sz w:val="48"/>
        </w:rPr>
        <w:t>FREE PAIN MANAGEMENT</w:t>
        <w:br/>
        <w:t>STARTER GUIDE</w:t>
      </w:r>
    </w:p>
    <w:p>
      <w:pPr>
        <w:jc w:val="center"/>
      </w:pPr>
      <w:r>
        <w:rPr>
          <w:color w:val="15515A"/>
          <w:sz w:val="21"/>
        </w:rPr>
        <w:t>Practical steps to understand pain, explore non-opioid options,</w:t>
        <w:br/>
        <w:t>and prepare for better conversations with your healthcare team.</w:t>
      </w:r>
    </w:p>
    <w:tbl>
      <w:tblPr>
        <w:tblW w:type="auto" w:w="0"/>
        <w:jc w:val="center"/>
        <w:tblLook w:firstColumn="1" w:firstRow="1" w:lastColumn="0" w:lastRow="0" w:noHBand="0" w:noVBand="1" w:val="04A0"/>
      </w:tblPr>
      <w:tblGrid>
        <w:gridCol w:w="10656"/>
      </w:tblGrid>
      <w:tr>
        <w:tc>
          <w:tcPr>
            <w:tcW w:type="dxa" w:w="10656"/>
            <w:shd w:fill="EAF7F8"/>
            <w:tcMar>
              <w:top w:w="120" w:type="dxa"/>
              <w:start w:w="120" w:type="dxa"/>
              <w:bottom w:w="120" w:type="dxa"/>
              <w:end w:w="120" w:type="dxa"/>
            </w:tcMar>
          </w:tcPr>
          <w:p>
            <w:r>
              <w:rPr>
                <w:b/>
                <w:color w:val="07879A"/>
                <w:sz w:val="20"/>
              </w:rPr>
              <w:t>A simple place to start</w:t>
            </w:r>
          </w:p>
          <w:p>
            <w:pPr>
              <w:spacing w:after="0"/>
            </w:pPr>
            <w:r>
              <w:rPr>
                <w:sz w:val="17"/>
              </w:rPr>
              <w:t>Pain management is rarely one-size-fits-all. This guide introduces practical, evidence-informed strategies that can be combined into a personalized plan with your healthcare team.</w:t>
            </w:r>
          </w:p>
        </w:tc>
      </w:tr>
    </w:tbl>
    <w:p>
      <w:pPr>
        <w:pStyle w:val="Heading1"/>
      </w:pPr>
      <w:r>
        <w:t>How to use this guide</w:t>
      </w:r>
    </w:p>
    <w:p>
      <w:pPr>
        <w:pStyle w:val="ListBullet"/>
        <w:spacing w:after="30"/>
      </w:pPr>
      <w:r>
        <w:rPr>
          <w:sz w:val="17"/>
        </w:rPr>
        <w:t>Choose one or two strategies that feel realistic for you.</w:t>
      </w:r>
    </w:p>
    <w:p>
      <w:pPr>
        <w:pStyle w:val="ListBullet"/>
        <w:spacing w:after="30"/>
      </w:pPr>
      <w:r>
        <w:rPr>
          <w:sz w:val="17"/>
        </w:rPr>
        <w:t>Track what you try and how it affects pain, sleep, mood, and daily function.</w:t>
      </w:r>
    </w:p>
    <w:p>
      <w:pPr>
        <w:pStyle w:val="ListBullet"/>
        <w:spacing w:after="30"/>
      </w:pPr>
      <w:r>
        <w:rPr>
          <w:sz w:val="17"/>
        </w:rPr>
        <w:t>Focus on meaningful activities - such as walking, working, sleeping, or caring for family - not only the pain number.</w:t>
      </w:r>
    </w:p>
    <w:p>
      <w:pPr>
        <w:pStyle w:val="ListBullet"/>
        <w:spacing w:after="30"/>
      </w:pPr>
      <w:r>
        <w:rPr>
          <w:sz w:val="17"/>
        </w:rPr>
        <w:t>Bring your notes and medication list to your next healthcare visit.</w:t>
      </w:r>
    </w:p>
    <w:p>
      <w:pPr>
        <w:pStyle w:val="Heading1"/>
      </w:pPr>
      <w:r>
        <w:t>When pain needs urgent attention</w:t>
      </w:r>
    </w:p>
    <w:p>
      <w:r>
        <w:t>Seek urgent medical evaluation for new or severe pain accompanied by warning signs such as:</w:t>
      </w:r>
    </w:p>
    <w:p>
      <w:pPr>
        <w:pStyle w:val="ListBullet"/>
        <w:spacing w:after="30"/>
      </w:pPr>
      <w:r>
        <w:rPr>
          <w:sz w:val="17"/>
        </w:rPr>
        <w:t>Chest pain, severe shortness of breath, fainting, or signs of stroke.</w:t>
      </w:r>
    </w:p>
    <w:p>
      <w:pPr>
        <w:pStyle w:val="ListBullet"/>
        <w:spacing w:after="30"/>
      </w:pPr>
      <w:r>
        <w:rPr>
          <w:sz w:val="17"/>
        </w:rPr>
        <w:t>Sudden severe headache, major trauma, or rapidly worsening symptoms.</w:t>
      </w:r>
    </w:p>
    <w:p>
      <w:pPr>
        <w:pStyle w:val="ListBullet"/>
        <w:spacing w:after="30"/>
      </w:pPr>
      <w:r>
        <w:rPr>
          <w:sz w:val="17"/>
        </w:rPr>
        <w:t>New loss of bowel or bladder control, numbness around the groin/saddle area, or new significant weakness.</w:t>
      </w:r>
    </w:p>
    <w:p>
      <w:pPr>
        <w:pStyle w:val="ListBullet"/>
        <w:spacing w:after="30"/>
      </w:pPr>
      <w:r>
        <w:rPr>
          <w:sz w:val="17"/>
        </w:rPr>
        <w:t>Fever with severe pain, a hot/swollen joint, or concern for a serious infection.</w:t>
      </w:r>
    </w:p>
    <w:tbl>
      <w:tblPr>
        <w:tblW w:type="auto" w:w="0"/>
        <w:jc w:val="center"/>
        <w:tblLook w:firstColumn="1" w:firstRow="1" w:lastColumn="0" w:lastRow="0" w:noHBand="0" w:noVBand="1" w:val="04A0"/>
      </w:tblPr>
      <w:tblGrid>
        <w:gridCol w:w="10656"/>
      </w:tblGrid>
      <w:tr>
        <w:tc>
          <w:tcPr>
            <w:tcW w:type="dxa" w:w="10656"/>
            <w:shd w:fill="FFF5E8"/>
            <w:tcMar>
              <w:top w:w="120" w:type="dxa"/>
              <w:start w:w="120" w:type="dxa"/>
              <w:bottom w:w="120" w:type="dxa"/>
              <w:end w:w="120" w:type="dxa"/>
            </w:tcMar>
          </w:tcPr>
          <w:p>
            <w:r>
              <w:rPr>
                <w:b/>
                <w:color w:val="07879A"/>
                <w:sz w:val="20"/>
              </w:rPr>
              <w:t>Important</w:t>
            </w:r>
          </w:p>
          <w:p>
            <w:pPr>
              <w:spacing w:after="0"/>
            </w:pPr>
            <w:r>
              <w:rPr>
                <w:sz w:val="17"/>
              </w:rPr>
              <w:t>This guide is for general education only. It does not diagnose a condition or replace care from a licensed healthcare professional. Treatment choices depend on your health history and individual circumstances.</w:t>
            </w:r>
          </w:p>
        </w:tc>
      </w:tr>
    </w:tbl>
    <w:p>
      <w:pPr>
        <w:spacing w:before="40" w:after="0"/>
      </w:pPr>
      <w:r>
        <w:rPr>
          <w:color w:val="5B6570"/>
          <w:sz w:val="13"/>
        </w:rPr>
        <w:t>Educational sources used throughout: CDC, FDA, NIH/NCCIH, American College of Physicians, and American College of Rheumatology/Arthritis Foundation.</w:t>
      </w:r>
    </w:p>
    <w:p>
      <w:r>
        <w:br w:type="page"/>
      </w:r>
    </w:p>
    <w:p>
      <w:pPr>
        <w:pStyle w:val="Title"/>
      </w:pPr>
      <w:r>
        <w:t>1  Understanding Pain</w:t>
      </w:r>
    </w:p>
    <w:p>
      <w:r>
        <w:t>Pain is an unpleasant sensory and emotional experience. It is real, personal, and influenced by many factors. Understanding the type and pattern of pain can help you and your healthcare team choose safer, more useful strategies.</w:t>
      </w:r>
    </w:p>
    <w:tbl>
      <w:tblPr>
        <w:tblW w:type="auto" w:w="0"/>
        <w:jc w:val="center"/>
        <w:tblLook w:firstColumn="1" w:firstRow="1" w:lastColumn="0" w:lastRow="0" w:noHBand="0" w:noVBand="1" w:val="04A0"/>
      </w:tblPr>
      <w:tblGrid>
        <w:gridCol w:w="5328"/>
        <w:gridCol w:w="5328"/>
      </w:tblGrid>
      <w:tr>
        <w:tc>
          <w:tcPr>
            <w:tcW w:type="dxa" w:w="5328"/>
            <w:shd w:fill="EAF7F8"/>
            <w:tcMar>
              <w:top w:w="130" w:type="dxa"/>
              <w:start w:w="130" w:type="dxa"/>
              <w:bottom w:w="130" w:type="dxa"/>
              <w:end w:w="130" w:type="dxa"/>
            </w:tcMar>
          </w:tcPr>
          <w:p>
            <w:r>
              <w:rPr>
                <w:b/>
                <w:color w:val="07879A"/>
                <w:sz w:val="21"/>
              </w:rPr>
              <w:t>Acute pain</w:t>
            </w:r>
          </w:p>
          <w:p>
            <w:r>
              <w:rPr>
                <w:sz w:val="17"/>
              </w:rPr>
              <w:t>Usually begins suddenly and is related to an injury, surgery, illness, or other short-term problem. It often improves as the underlying problem heals.</w:t>
            </w:r>
          </w:p>
        </w:tc>
        <w:tc>
          <w:tcPr>
            <w:tcW w:type="dxa" w:w="5328"/>
            <w:shd w:fill="EAF7F8"/>
            <w:tcMar>
              <w:top w:w="130" w:type="dxa"/>
              <w:start w:w="130" w:type="dxa"/>
              <w:bottom w:w="130" w:type="dxa"/>
              <w:end w:w="130" w:type="dxa"/>
            </w:tcMar>
          </w:tcPr>
          <w:p>
            <w:r>
              <w:rPr>
                <w:b/>
                <w:color w:val="07879A"/>
                <w:sz w:val="21"/>
              </w:rPr>
              <w:t>Chronic pain</w:t>
            </w:r>
          </w:p>
          <w:p>
            <w:r>
              <w:rPr>
                <w:sz w:val="17"/>
              </w:rPr>
              <w:t>Persists or recurs for longer periods, often beyond expected healing. Care may focus on function, sleep, activity, coping, quality of life, and pain reduction.</w:t>
            </w:r>
          </w:p>
        </w:tc>
      </w:tr>
    </w:tbl>
    <w:p>
      <w:pPr>
        <w:pStyle w:val="Heading1"/>
      </w:pPr>
      <w:r>
        <w:t>Think beyond the 0-10 pain score</w:t>
      </w:r>
    </w:p>
    <w:p>
      <w:r>
        <w:t>A pain number can be useful, but it does not tell the whole story. Ask: What is pain preventing me from doing? What would meaningful improvement look like?</w:t>
      </w:r>
    </w:p>
    <w:p>
      <w:pPr>
        <w:pStyle w:val="ListBullet"/>
        <w:spacing w:after="30"/>
      </w:pPr>
      <w:r>
        <w:rPr>
          <w:sz w:val="17"/>
        </w:rPr>
        <w:t>Walk for 10 minutes with fewer rest breaks.</w:t>
      </w:r>
    </w:p>
    <w:p>
      <w:pPr>
        <w:pStyle w:val="ListBullet"/>
        <w:spacing w:after="30"/>
      </w:pPr>
      <w:r>
        <w:rPr>
          <w:sz w:val="17"/>
        </w:rPr>
        <w:t>Sleep for a longer uninterrupted period.</w:t>
      </w:r>
    </w:p>
    <w:p>
      <w:pPr>
        <w:pStyle w:val="ListBullet"/>
        <w:spacing w:after="30"/>
      </w:pPr>
      <w:r>
        <w:rPr>
          <w:sz w:val="17"/>
        </w:rPr>
        <w:t>Prepare a meal, shower, or dress more independently.</w:t>
      </w:r>
    </w:p>
    <w:p>
      <w:pPr>
        <w:pStyle w:val="ListBullet"/>
        <w:spacing w:after="30"/>
      </w:pPr>
      <w:r>
        <w:rPr>
          <w:sz w:val="17"/>
        </w:rPr>
        <w:t>Return to a hobby, work task, exercise, or social activity.</w:t>
      </w:r>
    </w:p>
    <w:p>
      <w:pPr>
        <w:pStyle w:val="ListBullet"/>
        <w:spacing w:after="30"/>
      </w:pPr>
      <w:r>
        <w:rPr>
          <w:sz w:val="17"/>
        </w:rPr>
        <w:t>Use fewer rescue strategies because the overall plan is working better.</w:t>
      </w:r>
    </w:p>
    <w:p>
      <w:pPr>
        <w:pStyle w:val="Heading1"/>
      </w:pPr>
      <w:r>
        <w:t>Set a functional goal</w:t>
      </w:r>
    </w:p>
    <w:tbl>
      <w:tblPr>
        <w:tblW w:type="auto" w:w="0"/>
        <w:jc w:val="center"/>
        <w:tblLook w:firstColumn="1" w:firstRow="1" w:lastColumn="0" w:lastRow="0" w:noHBand="0" w:noVBand="1" w:val="04A0"/>
      </w:tblPr>
      <w:tblGrid>
        <w:gridCol w:w="5328"/>
        <w:gridCol w:w="5328"/>
      </w:tblGrid>
      <w:tr>
        <w:tc>
          <w:tcPr>
            <w:tcW w:type="dxa" w:w="5328"/>
            <w:shd w:fill="F3F7F8"/>
            <w:tcMar>
              <w:top w:w="95" w:type="dxa"/>
              <w:start w:w="95" w:type="dxa"/>
              <w:bottom w:w="95" w:type="dxa"/>
              <w:end w:w="95" w:type="dxa"/>
            </w:tcMar>
          </w:tcPr>
          <w:p>
            <w:r>
              <w:rPr>
                <w:b/>
              </w:rPr>
              <w:t>Activity I want to improve</w:t>
            </w:r>
          </w:p>
        </w:tc>
        <w:tc>
          <w:tcPr>
            <w:tcW w:type="dxa" w:w="5328"/>
            <w:tcMar>
              <w:top w:w="95" w:type="dxa"/>
              <w:start w:w="95" w:type="dxa"/>
              <w:bottom w:w="95" w:type="dxa"/>
              <w:end w:w="95" w:type="dxa"/>
            </w:tcMar>
          </w:tcPr>
          <w:p>
            <w:r>
              <w:t>________________________________________</w:t>
            </w:r>
          </w:p>
        </w:tc>
      </w:tr>
      <w:tr>
        <w:tc>
          <w:tcPr>
            <w:tcW w:type="dxa" w:w="5328"/>
            <w:shd w:fill="F3F7F8"/>
            <w:tcMar>
              <w:top w:w="95" w:type="dxa"/>
              <w:start w:w="95" w:type="dxa"/>
              <w:bottom w:w="95" w:type="dxa"/>
              <w:end w:w="95" w:type="dxa"/>
            </w:tcMar>
          </w:tcPr>
          <w:p>
            <w:r>
              <w:rPr>
                <w:b/>
              </w:rPr>
              <w:t>My realistic goal this week</w:t>
            </w:r>
          </w:p>
        </w:tc>
        <w:tc>
          <w:tcPr>
            <w:tcW w:type="dxa" w:w="5328"/>
            <w:tcMar>
              <w:top w:w="95" w:type="dxa"/>
              <w:start w:w="95" w:type="dxa"/>
              <w:bottom w:w="95" w:type="dxa"/>
              <w:end w:w="95" w:type="dxa"/>
            </w:tcMar>
          </w:tcPr>
          <w:p>
            <w:r>
              <w:t>________________________________________</w:t>
            </w:r>
          </w:p>
        </w:tc>
      </w:tr>
      <w:tr>
        <w:tc>
          <w:tcPr>
            <w:tcW w:type="dxa" w:w="5328"/>
            <w:shd w:fill="F3F7F8"/>
            <w:tcMar>
              <w:top w:w="95" w:type="dxa"/>
              <w:start w:w="95" w:type="dxa"/>
              <w:bottom w:w="95" w:type="dxa"/>
              <w:end w:w="95" w:type="dxa"/>
            </w:tcMar>
          </w:tcPr>
          <w:p>
            <w:r>
              <w:rPr>
                <w:b/>
              </w:rPr>
              <w:t>How I will measure progress</w:t>
            </w:r>
          </w:p>
        </w:tc>
        <w:tc>
          <w:tcPr>
            <w:tcW w:type="dxa" w:w="5328"/>
            <w:tcMar>
              <w:top w:w="95" w:type="dxa"/>
              <w:start w:w="95" w:type="dxa"/>
              <w:bottom w:w="95" w:type="dxa"/>
              <w:end w:w="95" w:type="dxa"/>
            </w:tcMar>
          </w:tcPr>
          <w:p>
            <w:r>
              <w:t>________________________________________</w:t>
            </w:r>
          </w:p>
        </w:tc>
      </w:tr>
    </w:tbl>
    <w:tbl>
      <w:tblPr>
        <w:tblW w:type="auto" w:w="0"/>
        <w:jc w:val="center"/>
        <w:tblLook w:firstColumn="1" w:firstRow="1" w:lastColumn="0" w:lastRow="0" w:noHBand="0" w:noVBand="1" w:val="04A0"/>
      </w:tblPr>
      <w:tblGrid>
        <w:gridCol w:w="10656"/>
      </w:tblGrid>
      <w:tr>
        <w:tc>
          <w:tcPr>
            <w:tcW w:type="dxa" w:w="10656"/>
            <w:shd w:fill="EAF7F8"/>
            <w:tcMar>
              <w:top w:w="120" w:type="dxa"/>
              <w:start w:w="120" w:type="dxa"/>
              <w:bottom w:w="120" w:type="dxa"/>
              <w:end w:w="120" w:type="dxa"/>
            </w:tcMar>
          </w:tcPr>
          <w:p>
            <w:r>
              <w:rPr>
                <w:b/>
                <w:color w:val="07879A"/>
                <w:sz w:val="20"/>
              </w:rPr>
              <w:t>A multimodal approach</w:t>
            </w:r>
          </w:p>
          <w:p>
            <w:pPr>
              <w:spacing w:after="0"/>
            </w:pPr>
            <w:r>
              <w:rPr>
                <w:sz w:val="17"/>
              </w:rPr>
              <w:t>Pain care often works best when several appropriate strategies are combined - for example, movement, pacing, sleep support, relaxation skills, physical therapy, and medications when appropriate.</w:t>
            </w:r>
          </w:p>
        </w:tc>
      </w:tr>
    </w:tbl>
    <w:p>
      <w:pPr>
        <w:spacing w:before="40" w:after="0"/>
      </w:pPr>
      <w:r>
        <w:rPr>
          <w:color w:val="5B6570"/>
          <w:sz w:val="13"/>
        </w:rPr>
        <w:t>Sources: International Association for the Study of Pain (IASP) definition of pain; CDC Clinical Practice Guideline for Prescribing Opioids for Pain (2022).</w:t>
      </w:r>
    </w:p>
    <w:p>
      <w:r>
        <w:br w:type="page"/>
      </w:r>
    </w:p>
    <w:p>
      <w:pPr>
        <w:pStyle w:val="Title"/>
      </w:pPr>
      <w:r>
        <w:t>2  Build Your Non-Drug Pain Relief Toolkit</w:t>
      </w:r>
    </w:p>
    <w:p>
      <w:r>
        <w:t>Non-drug strategies can be used alone or alongside appropriate medical treatment. Not every option is right for every condition, so start gradually and stop an activity that causes concerning or sharply worsening symptoms.</w:t>
      </w:r>
    </w:p>
    <w:tbl>
      <w:tblPr>
        <w:tblW w:type="auto" w:w="0"/>
        <w:jc w:val="center"/>
        <w:tblLook w:firstColumn="1" w:firstRow="1" w:lastColumn="0" w:lastRow="0" w:noHBand="0" w:noVBand="1" w:val="04A0"/>
      </w:tblPr>
      <w:tblGrid>
        <w:gridCol w:w="5328"/>
        <w:gridCol w:w="5328"/>
      </w:tblGrid>
      <w:tr>
        <w:tc>
          <w:tcPr>
            <w:tcW w:type="dxa" w:w="5328"/>
            <w:shd w:fill="BDECEF"/>
            <w:tcMar>
              <w:top w:w="95" w:type="dxa"/>
              <w:start w:w="95" w:type="dxa"/>
              <w:bottom w:w="95" w:type="dxa"/>
              <w:end w:w="95" w:type="dxa"/>
            </w:tcMar>
          </w:tcPr>
          <w:p>
            <w:r>
              <w:rPr>
                <w:b/>
                <w:color w:val="15515A"/>
                <w:sz w:val="17"/>
              </w:rPr>
              <w:t>Move gently and regularly</w:t>
            </w:r>
          </w:p>
        </w:tc>
        <w:tc>
          <w:tcPr>
            <w:tcW w:type="dxa" w:w="5328"/>
            <w:tcMar>
              <w:top w:w="95" w:type="dxa"/>
              <w:start w:w="95" w:type="dxa"/>
              <w:bottom w:w="95" w:type="dxa"/>
              <w:end w:w="95" w:type="dxa"/>
            </w:tcMar>
          </w:tcPr>
          <w:p>
            <w:r>
              <w:rPr>
                <w:sz w:val="15"/>
              </w:rPr>
              <w:t>Appropriate movement can help maintain strength, mobility, confidence, and function. Walking, stretching, strengthening, aquatic exercise, yoga, or condition-specific exercise may be options.</w:t>
            </w:r>
          </w:p>
        </w:tc>
      </w:tr>
    </w:tbl>
    <w:tbl>
      <w:tblPr>
        <w:tblW w:type="auto" w:w="0"/>
        <w:jc w:val="center"/>
        <w:tblLook w:firstColumn="1" w:firstRow="1" w:lastColumn="0" w:lastRow="0" w:noHBand="0" w:noVBand="1" w:val="04A0"/>
      </w:tblPr>
      <w:tblGrid>
        <w:gridCol w:w="5328"/>
        <w:gridCol w:w="5328"/>
      </w:tblGrid>
      <w:tr>
        <w:tc>
          <w:tcPr>
            <w:tcW w:type="dxa" w:w="5328"/>
            <w:shd w:fill="BDECEF"/>
            <w:tcMar>
              <w:top w:w="95" w:type="dxa"/>
              <w:start w:w="95" w:type="dxa"/>
              <w:bottom w:w="95" w:type="dxa"/>
              <w:end w:w="95" w:type="dxa"/>
            </w:tcMar>
          </w:tcPr>
          <w:p>
            <w:r>
              <w:rPr>
                <w:b/>
                <w:color w:val="15515A"/>
                <w:sz w:val="17"/>
              </w:rPr>
              <w:t>Use pacing</w:t>
            </w:r>
          </w:p>
        </w:tc>
        <w:tc>
          <w:tcPr>
            <w:tcW w:type="dxa" w:w="5328"/>
            <w:tcMar>
              <w:top w:w="95" w:type="dxa"/>
              <w:start w:w="95" w:type="dxa"/>
              <w:bottom w:w="95" w:type="dxa"/>
              <w:end w:w="95" w:type="dxa"/>
            </w:tcMar>
          </w:tcPr>
          <w:p>
            <w:r>
              <w:rPr>
                <w:sz w:val="15"/>
              </w:rPr>
              <w:t>Break larger activities into smaller steps and alternate activity with planned rest. Avoid the cycle of doing too much on a better day and then needing prolonged recovery.</w:t>
            </w:r>
          </w:p>
        </w:tc>
      </w:tr>
    </w:tbl>
    <w:tbl>
      <w:tblPr>
        <w:tblW w:type="auto" w:w="0"/>
        <w:jc w:val="center"/>
        <w:tblLook w:firstColumn="1" w:firstRow="1" w:lastColumn="0" w:lastRow="0" w:noHBand="0" w:noVBand="1" w:val="04A0"/>
      </w:tblPr>
      <w:tblGrid>
        <w:gridCol w:w="5328"/>
        <w:gridCol w:w="5328"/>
      </w:tblGrid>
      <w:tr>
        <w:tc>
          <w:tcPr>
            <w:tcW w:type="dxa" w:w="5328"/>
            <w:shd w:fill="BDECEF"/>
            <w:tcMar>
              <w:top w:w="95" w:type="dxa"/>
              <w:start w:w="95" w:type="dxa"/>
              <w:bottom w:w="95" w:type="dxa"/>
              <w:end w:w="95" w:type="dxa"/>
            </w:tcMar>
          </w:tcPr>
          <w:p>
            <w:r>
              <w:rPr>
                <w:b/>
                <w:color w:val="15515A"/>
                <w:sz w:val="17"/>
              </w:rPr>
              <w:t>Try heat or cold</w:t>
            </w:r>
          </w:p>
        </w:tc>
        <w:tc>
          <w:tcPr>
            <w:tcW w:type="dxa" w:w="5328"/>
            <w:tcMar>
              <w:top w:w="95" w:type="dxa"/>
              <w:start w:w="95" w:type="dxa"/>
              <w:bottom w:w="95" w:type="dxa"/>
              <w:end w:w="95" w:type="dxa"/>
            </w:tcMar>
          </w:tcPr>
          <w:p>
            <w:r>
              <w:rPr>
                <w:sz w:val="15"/>
              </w:rPr>
              <w:t>Heat may feel soothing for stiffness or muscle discomfort. Cold may help some acute injuries or swelling. Protect the skin and avoid extreme temperatures.</w:t>
            </w:r>
          </w:p>
        </w:tc>
      </w:tr>
    </w:tbl>
    <w:tbl>
      <w:tblPr>
        <w:tblW w:type="auto" w:w="0"/>
        <w:jc w:val="center"/>
        <w:tblLook w:firstColumn="1" w:firstRow="1" w:lastColumn="0" w:lastRow="0" w:noHBand="0" w:noVBand="1" w:val="04A0"/>
      </w:tblPr>
      <w:tblGrid>
        <w:gridCol w:w="5328"/>
        <w:gridCol w:w="5328"/>
      </w:tblGrid>
      <w:tr>
        <w:tc>
          <w:tcPr>
            <w:tcW w:type="dxa" w:w="5328"/>
            <w:shd w:fill="BDECEF"/>
            <w:tcMar>
              <w:top w:w="95" w:type="dxa"/>
              <w:start w:w="95" w:type="dxa"/>
              <w:bottom w:w="95" w:type="dxa"/>
              <w:end w:w="95" w:type="dxa"/>
            </w:tcMar>
          </w:tcPr>
          <w:p>
            <w:r>
              <w:rPr>
                <w:b/>
                <w:color w:val="15515A"/>
                <w:sz w:val="17"/>
              </w:rPr>
              <w:t>Practice relaxation</w:t>
            </w:r>
          </w:p>
        </w:tc>
        <w:tc>
          <w:tcPr>
            <w:tcW w:type="dxa" w:w="5328"/>
            <w:tcMar>
              <w:top w:w="95" w:type="dxa"/>
              <w:start w:w="95" w:type="dxa"/>
              <w:bottom w:w="95" w:type="dxa"/>
              <w:end w:w="95" w:type="dxa"/>
            </w:tcMar>
          </w:tcPr>
          <w:p>
            <w:r>
              <w:rPr>
                <w:sz w:val="15"/>
              </w:rPr>
              <w:t>Slow breathing, mindfulness, meditation, progressive muscle relaxation, and guided imagery may reduce stress and help some people cope with pain.</w:t>
            </w:r>
          </w:p>
        </w:tc>
      </w:tr>
    </w:tbl>
    <w:tbl>
      <w:tblPr>
        <w:tblW w:type="auto" w:w="0"/>
        <w:jc w:val="center"/>
        <w:tblLook w:firstColumn="1" w:firstRow="1" w:lastColumn="0" w:lastRow="0" w:noHBand="0" w:noVBand="1" w:val="04A0"/>
      </w:tblPr>
      <w:tblGrid>
        <w:gridCol w:w="5328"/>
        <w:gridCol w:w="5328"/>
      </w:tblGrid>
      <w:tr>
        <w:tc>
          <w:tcPr>
            <w:tcW w:type="dxa" w:w="5328"/>
            <w:shd w:fill="BDECEF"/>
            <w:tcMar>
              <w:top w:w="95" w:type="dxa"/>
              <w:start w:w="95" w:type="dxa"/>
              <w:bottom w:w="95" w:type="dxa"/>
              <w:end w:w="95" w:type="dxa"/>
            </w:tcMar>
          </w:tcPr>
          <w:p>
            <w:r>
              <w:rPr>
                <w:b/>
                <w:color w:val="15515A"/>
                <w:sz w:val="17"/>
              </w:rPr>
              <w:t>Support better sleep</w:t>
            </w:r>
          </w:p>
        </w:tc>
        <w:tc>
          <w:tcPr>
            <w:tcW w:type="dxa" w:w="5328"/>
            <w:tcMar>
              <w:top w:w="95" w:type="dxa"/>
              <w:start w:w="95" w:type="dxa"/>
              <w:bottom w:w="95" w:type="dxa"/>
              <w:end w:w="95" w:type="dxa"/>
            </w:tcMar>
          </w:tcPr>
          <w:p>
            <w:r>
              <w:rPr>
                <w:sz w:val="15"/>
              </w:rPr>
              <w:t>Keep a regular sleep/wake schedule, create a wind-down routine, limit late caffeine, and discuss persistent sleep problems with a healthcare professional.</w:t>
            </w:r>
          </w:p>
        </w:tc>
      </w:tr>
    </w:tbl>
    <w:tbl>
      <w:tblPr>
        <w:tblW w:type="auto" w:w="0"/>
        <w:jc w:val="center"/>
        <w:tblLook w:firstColumn="1" w:firstRow="1" w:lastColumn="0" w:lastRow="0" w:noHBand="0" w:noVBand="1" w:val="04A0"/>
      </w:tblPr>
      <w:tblGrid>
        <w:gridCol w:w="5328"/>
        <w:gridCol w:w="5328"/>
      </w:tblGrid>
      <w:tr>
        <w:tc>
          <w:tcPr>
            <w:tcW w:type="dxa" w:w="5328"/>
            <w:shd w:fill="BDECEF"/>
            <w:tcMar>
              <w:top w:w="95" w:type="dxa"/>
              <w:start w:w="95" w:type="dxa"/>
              <w:bottom w:w="95" w:type="dxa"/>
              <w:end w:w="95" w:type="dxa"/>
            </w:tcMar>
          </w:tcPr>
          <w:p>
            <w:r>
              <w:rPr>
                <w:b/>
                <w:color w:val="15515A"/>
                <w:sz w:val="17"/>
              </w:rPr>
              <w:t>Use music intentionally</w:t>
            </w:r>
          </w:p>
        </w:tc>
        <w:tc>
          <w:tcPr>
            <w:tcW w:type="dxa" w:w="5328"/>
            <w:tcMar>
              <w:top w:w="95" w:type="dxa"/>
              <w:start w:w="95" w:type="dxa"/>
              <w:bottom w:w="95" w:type="dxa"/>
              <w:end w:w="95" w:type="dxa"/>
            </w:tcMar>
          </w:tcPr>
          <w:p>
            <w:r>
              <w:rPr>
                <w:sz w:val="15"/>
              </w:rPr>
              <w:t>Calming or personally meaningful music can be part of relaxation, distraction, sleep preparation, or recovery routines.</w:t>
            </w:r>
          </w:p>
        </w:tc>
      </w:tr>
    </w:tbl>
    <w:tbl>
      <w:tblPr>
        <w:tblW w:type="auto" w:w="0"/>
        <w:jc w:val="center"/>
        <w:tblLook w:firstColumn="1" w:firstRow="1" w:lastColumn="0" w:lastRow="0" w:noHBand="0" w:noVBand="1" w:val="04A0"/>
      </w:tblPr>
      <w:tblGrid>
        <w:gridCol w:w="5328"/>
        <w:gridCol w:w="5328"/>
      </w:tblGrid>
      <w:tr>
        <w:tc>
          <w:tcPr>
            <w:tcW w:type="dxa" w:w="5328"/>
            <w:shd w:fill="BDECEF"/>
            <w:tcMar>
              <w:top w:w="95" w:type="dxa"/>
              <w:start w:w="95" w:type="dxa"/>
              <w:bottom w:w="95" w:type="dxa"/>
              <w:end w:w="95" w:type="dxa"/>
            </w:tcMar>
          </w:tcPr>
          <w:p>
            <w:r>
              <w:rPr>
                <w:b/>
                <w:color w:val="15515A"/>
                <w:sz w:val="17"/>
              </w:rPr>
              <w:t>Ask about rehabilitation</w:t>
            </w:r>
          </w:p>
        </w:tc>
        <w:tc>
          <w:tcPr>
            <w:tcW w:type="dxa" w:w="5328"/>
            <w:tcMar>
              <w:top w:w="95" w:type="dxa"/>
              <w:start w:w="95" w:type="dxa"/>
              <w:bottom w:w="95" w:type="dxa"/>
              <w:end w:w="95" w:type="dxa"/>
            </w:tcMar>
          </w:tcPr>
          <w:p>
            <w:r>
              <w:rPr>
                <w:sz w:val="15"/>
              </w:rPr>
              <w:t>Physical and occupational therapy can address movement, strength, body mechanics, adaptive techniques, and participation in daily activities.</w:t>
            </w:r>
          </w:p>
        </w:tc>
      </w:tr>
    </w:tbl>
    <w:tbl>
      <w:tblPr>
        <w:tblW w:type="auto" w:w="0"/>
        <w:jc w:val="center"/>
        <w:tblLook w:firstColumn="1" w:firstRow="1" w:lastColumn="0" w:lastRow="0" w:noHBand="0" w:noVBand="1" w:val="04A0"/>
      </w:tblPr>
      <w:tblGrid>
        <w:gridCol w:w="10656"/>
      </w:tblGrid>
      <w:tr>
        <w:tc>
          <w:tcPr>
            <w:tcW w:type="dxa" w:w="10656"/>
            <w:shd w:fill="EAF7F8"/>
            <w:tcMar>
              <w:top w:w="120" w:type="dxa"/>
              <w:start w:w="120" w:type="dxa"/>
              <w:bottom w:w="120" w:type="dxa"/>
              <w:end w:w="120" w:type="dxa"/>
            </w:tcMar>
          </w:tcPr>
          <w:p>
            <w:r>
              <w:rPr>
                <w:b/>
                <w:color w:val="07879A"/>
                <w:sz w:val="20"/>
              </w:rPr>
              <w:t>Start small</w:t>
            </w:r>
          </w:p>
          <w:p>
            <w:pPr>
              <w:spacing w:after="0"/>
            </w:pPr>
            <w:r>
              <w:rPr>
                <w:sz w:val="17"/>
              </w:rPr>
              <w:t>Pick ONE strategy to practice consistently for the next 7 days. Small, repeatable changes are often easier to evaluate than changing everything at once.</w:t>
            </w:r>
          </w:p>
        </w:tc>
      </w:tr>
    </w:tbl>
    <w:p>
      <w:pPr>
        <w:spacing w:before="40" w:after="0"/>
      </w:pPr>
      <w:r>
        <w:rPr>
          <w:color w:val="5B6570"/>
          <w:sz w:val="13"/>
        </w:rPr>
        <w:t>Sources: NIH National Center for Complementary and Integrative Health (NCCIH); American College of Physicians guidance on noninvasive treatments for low back pain.</w:t>
      </w:r>
    </w:p>
    <w:p>
      <w:r>
        <w:br w:type="page"/>
      </w:r>
    </w:p>
    <w:p>
      <w:pPr>
        <w:pStyle w:val="Title"/>
      </w:pPr>
      <w:r>
        <w:t>3  Pain Medication Basics &amp; Safety</w:t>
      </w:r>
    </w:p>
    <w:p>
      <w:r>
        <w:t>Medicines can be one part of pain management. The safest choice depends on the cause of pain and your medical history. Ask a pharmacist or prescribing clinician before starting, stopping, combining, or changing medicines.</w:t>
      </w:r>
    </w:p>
    <w:tbl>
      <w:tblPr>
        <w:tblW w:type="auto" w:w="0"/>
        <w:jc w:val="center"/>
        <w:tblLook w:firstColumn="1" w:firstRow="1" w:lastColumn="0" w:lastRow="0" w:noHBand="0" w:noVBand="1" w:val="04A0"/>
      </w:tblPr>
      <w:tblGrid>
        <w:gridCol w:w="5328"/>
        <w:gridCol w:w="5328"/>
      </w:tblGrid>
      <w:tr>
        <w:tc>
          <w:tcPr>
            <w:tcW w:type="dxa" w:w="5328"/>
            <w:shd w:fill="07879A"/>
            <w:tcMar>
              <w:top w:w="95" w:type="dxa"/>
              <w:start w:w="95" w:type="dxa"/>
              <w:bottom w:w="95" w:type="dxa"/>
              <w:end w:w="95" w:type="dxa"/>
            </w:tcMar>
          </w:tcPr>
          <w:p>
            <w:r>
              <w:rPr>
                <w:b/>
                <w:color w:val="FFFFFF"/>
                <w:sz w:val="17"/>
              </w:rPr>
              <w:t>Medication type</w:t>
            </w:r>
          </w:p>
        </w:tc>
        <w:tc>
          <w:tcPr>
            <w:tcW w:type="dxa" w:w="5328"/>
            <w:shd w:fill="07879A"/>
            <w:tcMar>
              <w:top w:w="95" w:type="dxa"/>
              <w:start w:w="95" w:type="dxa"/>
              <w:bottom w:w="95" w:type="dxa"/>
              <w:end w:w="95" w:type="dxa"/>
            </w:tcMar>
          </w:tcPr>
          <w:p>
            <w:r>
              <w:rPr>
                <w:b/>
                <w:color w:val="FFFFFF"/>
                <w:sz w:val="17"/>
              </w:rPr>
              <w:t>What to know</w:t>
            </w:r>
          </w:p>
        </w:tc>
      </w:tr>
      <w:tr>
        <w:tc>
          <w:tcPr>
            <w:tcW w:type="dxa" w:w="5328"/>
            <w:shd w:fill="EAF7F8"/>
            <w:tcMar>
              <w:top w:w="95" w:type="dxa"/>
              <w:start w:w="95" w:type="dxa"/>
              <w:bottom w:w="95" w:type="dxa"/>
              <w:end w:w="95" w:type="dxa"/>
            </w:tcMar>
          </w:tcPr>
          <w:p>
            <w:r>
              <w:rPr>
                <w:b/>
                <w:color w:val="15515A"/>
                <w:sz w:val="16"/>
              </w:rPr>
              <w:t>Acetaminophen</w:t>
            </w:r>
          </w:p>
        </w:tc>
        <w:tc>
          <w:tcPr>
            <w:tcW w:type="dxa" w:w="5328"/>
            <w:tcMar>
              <w:top w:w="95" w:type="dxa"/>
              <w:start w:w="95" w:type="dxa"/>
              <w:bottom w:w="95" w:type="dxa"/>
              <w:end w:w="95" w:type="dxa"/>
            </w:tcMar>
          </w:tcPr>
          <w:p>
            <w:r>
              <w:rPr>
                <w:sz w:val="15"/>
              </w:rPr>
              <w:t>Used for pain and fever. Check labels because it can appear in combination products. Too much can cause serious liver injury. Ask your clinician what daily limit is appropriate for you.</w:t>
            </w:r>
          </w:p>
        </w:tc>
      </w:tr>
      <w:tr>
        <w:tc>
          <w:tcPr>
            <w:tcW w:type="dxa" w:w="5328"/>
            <w:shd w:fill="EAF7F8"/>
            <w:tcMar>
              <w:top w:w="95" w:type="dxa"/>
              <w:start w:w="95" w:type="dxa"/>
              <w:bottom w:w="95" w:type="dxa"/>
              <w:end w:w="95" w:type="dxa"/>
            </w:tcMar>
          </w:tcPr>
          <w:p>
            <w:r>
              <w:rPr>
                <w:b/>
                <w:color w:val="15515A"/>
                <w:sz w:val="16"/>
              </w:rPr>
              <w:t>NSAIDs</w:t>
            </w:r>
          </w:p>
        </w:tc>
        <w:tc>
          <w:tcPr>
            <w:tcW w:type="dxa" w:w="5328"/>
            <w:tcMar>
              <w:top w:w="95" w:type="dxa"/>
              <w:start w:w="95" w:type="dxa"/>
              <w:bottom w:w="95" w:type="dxa"/>
              <w:end w:w="95" w:type="dxa"/>
            </w:tcMar>
          </w:tcPr>
          <w:p>
            <w:r>
              <w:rPr>
                <w:sz w:val="15"/>
              </w:rPr>
              <w:t>Examples include ibuprofen and naproxen. They can help some inflammatory or musculoskeletal pain but may increase stomach, kidney, blood pressure, heart, or bleeding risks.</w:t>
            </w:r>
          </w:p>
        </w:tc>
      </w:tr>
      <w:tr>
        <w:tc>
          <w:tcPr>
            <w:tcW w:type="dxa" w:w="5328"/>
            <w:shd w:fill="EAF7F8"/>
            <w:tcMar>
              <w:top w:w="95" w:type="dxa"/>
              <w:start w:w="95" w:type="dxa"/>
              <w:bottom w:w="95" w:type="dxa"/>
              <w:end w:w="95" w:type="dxa"/>
            </w:tcMar>
          </w:tcPr>
          <w:p>
            <w:r>
              <w:rPr>
                <w:b/>
                <w:color w:val="15515A"/>
                <w:sz w:val="16"/>
              </w:rPr>
              <w:t>Topical options</w:t>
            </w:r>
          </w:p>
        </w:tc>
        <w:tc>
          <w:tcPr>
            <w:tcW w:type="dxa" w:w="5328"/>
            <w:tcMar>
              <w:top w:w="95" w:type="dxa"/>
              <w:start w:w="95" w:type="dxa"/>
              <w:bottom w:w="95" w:type="dxa"/>
              <w:end w:w="95" w:type="dxa"/>
            </w:tcMar>
          </w:tcPr>
          <w:p>
            <w:r>
              <w:rPr>
                <w:sz w:val="15"/>
              </w:rPr>
              <w:t>Topical lidocaine or capsaicin may help selected localized pain conditions. Follow product directions and avoid damaged skin unless specifically instructed.</w:t>
            </w:r>
          </w:p>
        </w:tc>
      </w:tr>
      <w:tr>
        <w:tc>
          <w:tcPr>
            <w:tcW w:type="dxa" w:w="5328"/>
            <w:shd w:fill="EAF7F8"/>
            <w:tcMar>
              <w:top w:w="95" w:type="dxa"/>
              <w:start w:w="95" w:type="dxa"/>
              <w:bottom w:w="95" w:type="dxa"/>
              <w:end w:w="95" w:type="dxa"/>
            </w:tcMar>
          </w:tcPr>
          <w:p>
            <w:r>
              <w:rPr>
                <w:b/>
                <w:color w:val="15515A"/>
                <w:sz w:val="16"/>
              </w:rPr>
              <w:t>Prescription non-opioid medicines</w:t>
            </w:r>
          </w:p>
        </w:tc>
        <w:tc>
          <w:tcPr>
            <w:tcW w:type="dxa" w:w="5328"/>
            <w:tcMar>
              <w:top w:w="95" w:type="dxa"/>
              <w:start w:w="95" w:type="dxa"/>
              <w:bottom w:w="95" w:type="dxa"/>
              <w:end w:w="95" w:type="dxa"/>
            </w:tcMar>
          </w:tcPr>
          <w:p>
            <w:r>
              <w:rPr>
                <w:sz w:val="15"/>
              </w:rPr>
              <w:t>Depending on the condition, clinicians may consider medicines such as duloxetine, gabapentin, or pregabalin. These require individualized assessment and can have important side effects and interactions.</w:t>
            </w:r>
          </w:p>
        </w:tc>
      </w:tr>
    </w:tbl>
    <w:p>
      <w:pPr>
        <w:pStyle w:val="Heading1"/>
      </w:pPr>
      <w:r>
        <w:t>Medication safety checklist</w:t>
      </w:r>
    </w:p>
    <w:p>
      <w:pPr>
        <w:pStyle w:val="ListBullet"/>
        <w:spacing w:after="30"/>
      </w:pPr>
      <w:r>
        <w:rPr>
          <w:sz w:val="16"/>
        </w:rPr>
        <w:t>Keep an up-to-date list of prescriptions, OTC medicines, vitamins, and supplements.</w:t>
      </w:r>
    </w:p>
    <w:p>
      <w:pPr>
        <w:pStyle w:val="ListBullet"/>
        <w:spacing w:after="30"/>
      </w:pPr>
      <w:r>
        <w:rPr>
          <w:sz w:val="16"/>
        </w:rPr>
        <w:t>Use one pharmacy when practical so interactions and duplicate therapies are easier to identify.</w:t>
      </w:r>
    </w:p>
    <w:p>
      <w:pPr>
        <w:pStyle w:val="ListBullet"/>
        <w:spacing w:after="30"/>
      </w:pPr>
      <w:r>
        <w:rPr>
          <w:sz w:val="16"/>
        </w:rPr>
        <w:t>Do not share prescription medication.</w:t>
      </w:r>
    </w:p>
    <w:p>
      <w:pPr>
        <w:pStyle w:val="ListBullet"/>
        <w:spacing w:after="30"/>
      </w:pPr>
      <w:r>
        <w:rPr>
          <w:sz w:val="16"/>
        </w:rPr>
        <w:t>Ask before combining medicines that can cause drowsiness or affect breathing.</w:t>
      </w:r>
    </w:p>
    <w:p>
      <w:pPr>
        <w:pStyle w:val="ListBullet"/>
        <w:spacing w:after="30"/>
      </w:pPr>
      <w:r>
        <w:rPr>
          <w:sz w:val="16"/>
        </w:rPr>
        <w:t>Store medicines securely and use authorized take-back or FDA-recommended disposal options.</w:t>
      </w:r>
    </w:p>
    <w:p>
      <w:pPr>
        <w:pStyle w:val="ListBullet"/>
        <w:spacing w:after="30"/>
      </w:pPr>
      <w:r>
        <w:rPr>
          <w:sz w:val="16"/>
        </w:rPr>
        <w:t>If opioids are prescribed, ask about overdose risk, naloxone, safe storage, and treatment goals for pain and function.</w:t>
      </w:r>
    </w:p>
    <w:tbl>
      <w:tblPr>
        <w:tblW w:type="auto" w:w="0"/>
        <w:jc w:val="center"/>
        <w:tblLook w:firstColumn="1" w:firstRow="1" w:lastColumn="0" w:lastRow="0" w:noHBand="0" w:noVBand="1" w:val="04A0"/>
      </w:tblPr>
      <w:tblGrid>
        <w:gridCol w:w="10656"/>
      </w:tblGrid>
      <w:tr>
        <w:tc>
          <w:tcPr>
            <w:tcW w:type="dxa" w:w="10656"/>
            <w:shd w:fill="EAF7F8"/>
            <w:tcMar>
              <w:top w:w="120" w:type="dxa"/>
              <w:start w:w="120" w:type="dxa"/>
              <w:bottom w:w="120" w:type="dxa"/>
              <w:end w:w="120" w:type="dxa"/>
            </w:tcMar>
          </w:tcPr>
          <w:p>
            <w:r>
              <w:rPr>
                <w:b/>
                <w:color w:val="07879A"/>
                <w:sz w:val="20"/>
              </w:rPr>
              <w:t>Before taking an OTC pain medicine</w:t>
            </w:r>
          </w:p>
          <w:p>
            <w:pPr>
              <w:spacing w:after="0"/>
            </w:pPr>
            <w:r>
              <w:rPr>
                <w:sz w:val="17"/>
              </w:rPr>
              <w:t>Check the active ingredient, label dose, warnings, and whether the same ingredient is already in another product you take. When unsure, ask a pharmacist.</w:t>
            </w:r>
          </w:p>
        </w:tc>
      </w:tr>
    </w:tbl>
    <w:p>
      <w:pPr>
        <w:spacing w:before="40" w:after="0"/>
      </w:pPr>
      <w:r>
        <w:rPr>
          <w:color w:val="5B6570"/>
          <w:sz w:val="13"/>
        </w:rPr>
        <w:t>Sources: U.S. Food and Drug Administration (FDA) consumer medication safety information; CDC opioid prescribing guideline (2022).</w:t>
      </w:r>
    </w:p>
    <w:p>
      <w:r>
        <w:br w:type="page"/>
      </w:r>
    </w:p>
    <w:p>
      <w:pPr>
        <w:pStyle w:val="Title"/>
      </w:pPr>
      <w:r>
        <w:t>4  My Pain Management Action Plan</w:t>
      </w:r>
    </w:p>
    <w:p>
      <w:r>
        <w:t>Use this page for one week, then bring it to your healthcare appointment. Look for patterns rather than expecting every day to be the same.</w:t>
      </w:r>
    </w:p>
    <w:p>
      <w:pPr>
        <w:pStyle w:val="Heading1"/>
      </w:pPr>
      <w:r>
        <w:t>My goal</w:t>
      </w:r>
    </w:p>
    <w:tbl>
      <w:tblPr>
        <w:tblW w:type="auto" w:w="0"/>
        <w:jc w:val="center"/>
        <w:tblLook w:firstColumn="1" w:firstRow="1" w:lastColumn="0" w:lastRow="0" w:noHBand="0" w:noVBand="1" w:val="04A0"/>
      </w:tblPr>
      <w:tblGrid>
        <w:gridCol w:w="5328"/>
        <w:gridCol w:w="5328"/>
      </w:tblGrid>
      <w:tr>
        <w:tc>
          <w:tcPr>
            <w:tcW w:type="dxa" w:w="5328"/>
            <w:shd w:fill="EAF7F8"/>
            <w:tcMar>
              <w:top w:w="95" w:type="dxa"/>
              <w:start w:w="95" w:type="dxa"/>
              <w:bottom w:w="95" w:type="dxa"/>
              <w:end w:w="95" w:type="dxa"/>
            </w:tcMar>
          </w:tcPr>
          <w:p>
            <w:r>
              <w:rPr>
                <w:b/>
              </w:rPr>
              <w:t>Activity/function I want to improve</w:t>
            </w:r>
          </w:p>
        </w:tc>
        <w:tc>
          <w:tcPr>
            <w:tcW w:type="dxa" w:w="5328"/>
            <w:tcMar>
              <w:top w:w="95" w:type="dxa"/>
              <w:start w:w="95" w:type="dxa"/>
              <w:bottom w:w="95" w:type="dxa"/>
              <w:end w:w="95" w:type="dxa"/>
            </w:tcMar>
          </w:tcPr>
          <w:p>
            <w:r>
              <w:t>_______________________________________</w:t>
            </w:r>
          </w:p>
        </w:tc>
      </w:tr>
      <w:tr>
        <w:tc>
          <w:tcPr>
            <w:tcW w:type="dxa" w:w="5328"/>
            <w:shd w:fill="EAF7F8"/>
            <w:tcMar>
              <w:top w:w="95" w:type="dxa"/>
              <w:start w:w="95" w:type="dxa"/>
              <w:bottom w:w="95" w:type="dxa"/>
              <w:end w:w="95" w:type="dxa"/>
            </w:tcMar>
          </w:tcPr>
          <w:p>
            <w:r>
              <w:rPr>
                <w:b/>
              </w:rPr>
              <w:t>One strategy I will try this week</w:t>
            </w:r>
          </w:p>
        </w:tc>
        <w:tc>
          <w:tcPr>
            <w:tcW w:type="dxa" w:w="5328"/>
            <w:tcMar>
              <w:top w:w="95" w:type="dxa"/>
              <w:start w:w="95" w:type="dxa"/>
              <w:bottom w:w="95" w:type="dxa"/>
              <w:end w:w="95" w:type="dxa"/>
            </w:tcMar>
          </w:tcPr>
          <w:p>
            <w:r>
              <w:t>_______________________________________</w:t>
            </w:r>
          </w:p>
        </w:tc>
      </w:tr>
    </w:tbl>
    <w:p>
      <w:pPr>
        <w:pStyle w:val="Heading1"/>
      </w:pPr>
      <w:r>
        <w:t>7-day quick tracker</w:t>
      </w:r>
    </w:p>
    <w:tbl>
      <w:tblPr>
        <w:tblW w:type="auto" w:w="0"/>
        <w:jc w:val="center"/>
        <w:tblLook w:firstColumn="1" w:firstRow="1" w:lastColumn="0" w:lastRow="0" w:noHBand="0" w:noVBand="1" w:val="04A0"/>
      </w:tblPr>
      <w:tblGrid>
        <w:gridCol w:w="2131"/>
        <w:gridCol w:w="2131"/>
        <w:gridCol w:w="2131"/>
        <w:gridCol w:w="2131"/>
        <w:gridCol w:w="2131"/>
      </w:tblGrid>
      <w:tr>
        <w:tc>
          <w:tcPr>
            <w:tcW w:type="dxa" w:w="2131"/>
            <w:shd w:fill="07879A"/>
            <w:tcMar>
              <w:top w:w="70" w:type="dxa"/>
              <w:start w:w="70" w:type="dxa"/>
              <w:bottom w:w="70" w:type="dxa"/>
              <w:end w:w="70" w:type="dxa"/>
            </w:tcMar>
          </w:tcPr>
          <w:p>
            <w:r>
              <w:rPr>
                <w:b/>
                <w:color w:val="FFFFFF"/>
                <w:sz w:val="15"/>
              </w:rPr>
              <w:t>Day</w:t>
            </w:r>
          </w:p>
        </w:tc>
        <w:tc>
          <w:tcPr>
            <w:tcW w:type="dxa" w:w="2131"/>
            <w:shd w:fill="07879A"/>
            <w:tcMar>
              <w:top w:w="70" w:type="dxa"/>
              <w:start w:w="70" w:type="dxa"/>
              <w:bottom w:w="70" w:type="dxa"/>
              <w:end w:w="70" w:type="dxa"/>
            </w:tcMar>
          </w:tcPr>
          <w:p>
            <w:r>
              <w:rPr>
                <w:b/>
                <w:color w:val="FFFFFF"/>
                <w:sz w:val="15"/>
              </w:rPr>
              <w:t>Pain</w:t>
              <w:br/>
              <w:t>0-10</w:t>
            </w:r>
          </w:p>
        </w:tc>
        <w:tc>
          <w:tcPr>
            <w:tcW w:type="dxa" w:w="2131"/>
            <w:shd w:fill="07879A"/>
            <w:tcMar>
              <w:top w:w="70" w:type="dxa"/>
              <w:start w:w="70" w:type="dxa"/>
              <w:bottom w:w="70" w:type="dxa"/>
              <w:end w:w="70" w:type="dxa"/>
            </w:tcMar>
          </w:tcPr>
          <w:p>
            <w:r>
              <w:rPr>
                <w:b/>
                <w:color w:val="FFFFFF"/>
                <w:sz w:val="15"/>
              </w:rPr>
              <w:t>Function/activity</w:t>
            </w:r>
          </w:p>
        </w:tc>
        <w:tc>
          <w:tcPr>
            <w:tcW w:type="dxa" w:w="2131"/>
            <w:shd w:fill="07879A"/>
            <w:tcMar>
              <w:top w:w="70" w:type="dxa"/>
              <w:start w:w="70" w:type="dxa"/>
              <w:bottom w:w="70" w:type="dxa"/>
              <w:end w:w="70" w:type="dxa"/>
            </w:tcMar>
          </w:tcPr>
          <w:p>
            <w:r>
              <w:rPr>
                <w:b/>
                <w:color w:val="FFFFFF"/>
                <w:sz w:val="15"/>
              </w:rPr>
              <w:t>What I tried</w:t>
            </w:r>
          </w:p>
        </w:tc>
        <w:tc>
          <w:tcPr>
            <w:tcW w:type="dxa" w:w="2131"/>
            <w:shd w:fill="07879A"/>
            <w:tcMar>
              <w:top w:w="70" w:type="dxa"/>
              <w:start w:w="70" w:type="dxa"/>
              <w:bottom w:w="70" w:type="dxa"/>
              <w:end w:w="70" w:type="dxa"/>
            </w:tcMar>
          </w:tcPr>
          <w:p>
            <w:r>
              <w:rPr>
                <w:b/>
                <w:color w:val="FFFFFF"/>
                <w:sz w:val="15"/>
              </w:rPr>
              <w:t>What I noticed</w:t>
            </w:r>
          </w:p>
        </w:tc>
      </w:tr>
      <w:tr>
        <w:tc>
          <w:tcPr>
            <w:tcW w:type="dxa" w:w="2131"/>
            <w:tcMar>
              <w:top w:w="70" w:type="dxa"/>
              <w:start w:w="70" w:type="dxa"/>
              <w:bottom w:w="70" w:type="dxa"/>
              <w:end w:w="70" w:type="dxa"/>
            </w:tcMar>
          </w:tcPr>
          <w:p>
            <w:r>
              <w:rPr>
                <w:sz w:val="14"/>
              </w:rPr>
              <w:t>Mon</w:t>
            </w:r>
          </w:p>
        </w:tc>
        <w:tc>
          <w:tcPr>
            <w:tcW w:type="dxa" w:w="2131"/>
            <w:tcMar>
              <w:top w:w="70" w:type="dxa"/>
              <w:start w:w="70" w:type="dxa"/>
              <w:bottom w:w="70" w:type="dxa"/>
              <w:end w:w="70" w:type="dxa"/>
            </w:tcMar>
          </w:tcPr>
          <w:p>
            <w:r>
              <w:rPr>
                <w:sz w:val="14"/>
              </w:rPr>
              <w:t>____</w:t>
            </w:r>
          </w:p>
        </w:tc>
        <w:tc>
          <w:tcPr>
            <w:tcW w:type="dxa" w:w="2131"/>
            <w:tcMar>
              <w:top w:w="70" w:type="dxa"/>
              <w:start w:w="70" w:type="dxa"/>
              <w:bottom w:w="70" w:type="dxa"/>
              <w:end w:w="70" w:type="dxa"/>
            </w:tcMar>
          </w:tcPr>
          <w:p>
            <w:r>
              <w:rPr>
                <w:sz w:val="14"/>
              </w:rPr>
              <w:t>________________</w:t>
            </w:r>
          </w:p>
        </w:tc>
        <w:tc>
          <w:tcPr>
            <w:tcW w:type="dxa" w:w="2131"/>
            <w:tcMar>
              <w:top w:w="70" w:type="dxa"/>
              <w:start w:w="70" w:type="dxa"/>
              <w:bottom w:w="70" w:type="dxa"/>
              <w:end w:w="70" w:type="dxa"/>
            </w:tcMar>
          </w:tcPr>
          <w:p>
            <w:r>
              <w:rPr>
                <w:sz w:val="14"/>
              </w:rPr>
              <w:t>________________</w:t>
            </w:r>
          </w:p>
        </w:tc>
        <w:tc>
          <w:tcPr>
            <w:tcW w:type="dxa" w:w="2131"/>
            <w:tcMar>
              <w:top w:w="70" w:type="dxa"/>
              <w:start w:w="70" w:type="dxa"/>
              <w:bottom w:w="70" w:type="dxa"/>
              <w:end w:w="70" w:type="dxa"/>
            </w:tcMar>
          </w:tcPr>
          <w:p>
            <w:r>
              <w:rPr>
                <w:sz w:val="14"/>
              </w:rPr>
              <w:t>________________</w:t>
            </w:r>
          </w:p>
        </w:tc>
      </w:tr>
      <w:tr>
        <w:tc>
          <w:tcPr>
            <w:tcW w:type="dxa" w:w="2131"/>
            <w:tcMar>
              <w:top w:w="70" w:type="dxa"/>
              <w:start w:w="70" w:type="dxa"/>
              <w:bottom w:w="70" w:type="dxa"/>
              <w:end w:w="70" w:type="dxa"/>
            </w:tcMar>
          </w:tcPr>
          <w:p>
            <w:r>
              <w:rPr>
                <w:sz w:val="14"/>
              </w:rPr>
              <w:t>Tue</w:t>
            </w:r>
          </w:p>
        </w:tc>
        <w:tc>
          <w:tcPr>
            <w:tcW w:type="dxa" w:w="2131"/>
            <w:tcMar>
              <w:top w:w="70" w:type="dxa"/>
              <w:start w:w="70" w:type="dxa"/>
              <w:bottom w:w="70" w:type="dxa"/>
              <w:end w:w="70" w:type="dxa"/>
            </w:tcMar>
          </w:tcPr>
          <w:p>
            <w:r>
              <w:rPr>
                <w:sz w:val="14"/>
              </w:rPr>
              <w:t>____</w:t>
            </w:r>
          </w:p>
        </w:tc>
        <w:tc>
          <w:tcPr>
            <w:tcW w:type="dxa" w:w="2131"/>
            <w:tcMar>
              <w:top w:w="70" w:type="dxa"/>
              <w:start w:w="70" w:type="dxa"/>
              <w:bottom w:w="70" w:type="dxa"/>
              <w:end w:w="70" w:type="dxa"/>
            </w:tcMar>
          </w:tcPr>
          <w:p>
            <w:r>
              <w:rPr>
                <w:sz w:val="14"/>
              </w:rPr>
              <w:t>________________</w:t>
            </w:r>
          </w:p>
        </w:tc>
        <w:tc>
          <w:tcPr>
            <w:tcW w:type="dxa" w:w="2131"/>
            <w:tcMar>
              <w:top w:w="70" w:type="dxa"/>
              <w:start w:w="70" w:type="dxa"/>
              <w:bottom w:w="70" w:type="dxa"/>
              <w:end w:w="70" w:type="dxa"/>
            </w:tcMar>
          </w:tcPr>
          <w:p>
            <w:r>
              <w:rPr>
                <w:sz w:val="14"/>
              </w:rPr>
              <w:t>________________</w:t>
            </w:r>
          </w:p>
        </w:tc>
        <w:tc>
          <w:tcPr>
            <w:tcW w:type="dxa" w:w="2131"/>
            <w:tcMar>
              <w:top w:w="70" w:type="dxa"/>
              <w:start w:w="70" w:type="dxa"/>
              <w:bottom w:w="70" w:type="dxa"/>
              <w:end w:w="70" w:type="dxa"/>
            </w:tcMar>
          </w:tcPr>
          <w:p>
            <w:r>
              <w:rPr>
                <w:sz w:val="14"/>
              </w:rPr>
              <w:t>________________</w:t>
            </w:r>
          </w:p>
        </w:tc>
      </w:tr>
      <w:tr>
        <w:tc>
          <w:tcPr>
            <w:tcW w:type="dxa" w:w="2131"/>
            <w:tcMar>
              <w:top w:w="70" w:type="dxa"/>
              <w:start w:w="70" w:type="dxa"/>
              <w:bottom w:w="70" w:type="dxa"/>
              <w:end w:w="70" w:type="dxa"/>
            </w:tcMar>
          </w:tcPr>
          <w:p>
            <w:r>
              <w:rPr>
                <w:sz w:val="14"/>
              </w:rPr>
              <w:t>Wed</w:t>
            </w:r>
          </w:p>
        </w:tc>
        <w:tc>
          <w:tcPr>
            <w:tcW w:type="dxa" w:w="2131"/>
            <w:tcMar>
              <w:top w:w="70" w:type="dxa"/>
              <w:start w:w="70" w:type="dxa"/>
              <w:bottom w:w="70" w:type="dxa"/>
              <w:end w:w="70" w:type="dxa"/>
            </w:tcMar>
          </w:tcPr>
          <w:p>
            <w:r>
              <w:rPr>
                <w:sz w:val="14"/>
              </w:rPr>
              <w:t>____</w:t>
            </w:r>
          </w:p>
        </w:tc>
        <w:tc>
          <w:tcPr>
            <w:tcW w:type="dxa" w:w="2131"/>
            <w:tcMar>
              <w:top w:w="70" w:type="dxa"/>
              <w:start w:w="70" w:type="dxa"/>
              <w:bottom w:w="70" w:type="dxa"/>
              <w:end w:w="70" w:type="dxa"/>
            </w:tcMar>
          </w:tcPr>
          <w:p>
            <w:r>
              <w:rPr>
                <w:sz w:val="14"/>
              </w:rPr>
              <w:t>________________</w:t>
            </w:r>
          </w:p>
        </w:tc>
        <w:tc>
          <w:tcPr>
            <w:tcW w:type="dxa" w:w="2131"/>
            <w:tcMar>
              <w:top w:w="70" w:type="dxa"/>
              <w:start w:w="70" w:type="dxa"/>
              <w:bottom w:w="70" w:type="dxa"/>
              <w:end w:w="70" w:type="dxa"/>
            </w:tcMar>
          </w:tcPr>
          <w:p>
            <w:r>
              <w:rPr>
                <w:sz w:val="14"/>
              </w:rPr>
              <w:t>________________</w:t>
            </w:r>
          </w:p>
        </w:tc>
        <w:tc>
          <w:tcPr>
            <w:tcW w:type="dxa" w:w="2131"/>
            <w:tcMar>
              <w:top w:w="70" w:type="dxa"/>
              <w:start w:w="70" w:type="dxa"/>
              <w:bottom w:w="70" w:type="dxa"/>
              <w:end w:w="70" w:type="dxa"/>
            </w:tcMar>
          </w:tcPr>
          <w:p>
            <w:r>
              <w:rPr>
                <w:sz w:val="14"/>
              </w:rPr>
              <w:t>________________</w:t>
            </w:r>
          </w:p>
        </w:tc>
      </w:tr>
      <w:tr>
        <w:tc>
          <w:tcPr>
            <w:tcW w:type="dxa" w:w="2131"/>
            <w:tcMar>
              <w:top w:w="70" w:type="dxa"/>
              <w:start w:w="70" w:type="dxa"/>
              <w:bottom w:w="70" w:type="dxa"/>
              <w:end w:w="70" w:type="dxa"/>
            </w:tcMar>
          </w:tcPr>
          <w:p>
            <w:r>
              <w:rPr>
                <w:sz w:val="14"/>
              </w:rPr>
              <w:t>Thu</w:t>
            </w:r>
          </w:p>
        </w:tc>
        <w:tc>
          <w:tcPr>
            <w:tcW w:type="dxa" w:w="2131"/>
            <w:tcMar>
              <w:top w:w="70" w:type="dxa"/>
              <w:start w:w="70" w:type="dxa"/>
              <w:bottom w:w="70" w:type="dxa"/>
              <w:end w:w="70" w:type="dxa"/>
            </w:tcMar>
          </w:tcPr>
          <w:p>
            <w:r>
              <w:rPr>
                <w:sz w:val="14"/>
              </w:rPr>
              <w:t>____</w:t>
            </w:r>
          </w:p>
        </w:tc>
        <w:tc>
          <w:tcPr>
            <w:tcW w:type="dxa" w:w="2131"/>
            <w:tcMar>
              <w:top w:w="70" w:type="dxa"/>
              <w:start w:w="70" w:type="dxa"/>
              <w:bottom w:w="70" w:type="dxa"/>
              <w:end w:w="70" w:type="dxa"/>
            </w:tcMar>
          </w:tcPr>
          <w:p>
            <w:r>
              <w:rPr>
                <w:sz w:val="14"/>
              </w:rPr>
              <w:t>________________</w:t>
            </w:r>
          </w:p>
        </w:tc>
        <w:tc>
          <w:tcPr>
            <w:tcW w:type="dxa" w:w="2131"/>
            <w:tcMar>
              <w:top w:w="70" w:type="dxa"/>
              <w:start w:w="70" w:type="dxa"/>
              <w:bottom w:w="70" w:type="dxa"/>
              <w:end w:w="70" w:type="dxa"/>
            </w:tcMar>
          </w:tcPr>
          <w:p>
            <w:r>
              <w:rPr>
                <w:sz w:val="14"/>
              </w:rPr>
              <w:t>________________</w:t>
            </w:r>
          </w:p>
        </w:tc>
        <w:tc>
          <w:tcPr>
            <w:tcW w:type="dxa" w:w="2131"/>
            <w:tcMar>
              <w:top w:w="70" w:type="dxa"/>
              <w:start w:w="70" w:type="dxa"/>
              <w:bottom w:w="70" w:type="dxa"/>
              <w:end w:w="70" w:type="dxa"/>
            </w:tcMar>
          </w:tcPr>
          <w:p>
            <w:r>
              <w:rPr>
                <w:sz w:val="14"/>
              </w:rPr>
              <w:t>________________</w:t>
            </w:r>
          </w:p>
        </w:tc>
      </w:tr>
      <w:tr>
        <w:tc>
          <w:tcPr>
            <w:tcW w:type="dxa" w:w="2131"/>
            <w:tcMar>
              <w:top w:w="70" w:type="dxa"/>
              <w:start w:w="70" w:type="dxa"/>
              <w:bottom w:w="70" w:type="dxa"/>
              <w:end w:w="70" w:type="dxa"/>
            </w:tcMar>
          </w:tcPr>
          <w:p>
            <w:r>
              <w:rPr>
                <w:sz w:val="14"/>
              </w:rPr>
              <w:t>Fri</w:t>
            </w:r>
          </w:p>
        </w:tc>
        <w:tc>
          <w:tcPr>
            <w:tcW w:type="dxa" w:w="2131"/>
            <w:tcMar>
              <w:top w:w="70" w:type="dxa"/>
              <w:start w:w="70" w:type="dxa"/>
              <w:bottom w:w="70" w:type="dxa"/>
              <w:end w:w="70" w:type="dxa"/>
            </w:tcMar>
          </w:tcPr>
          <w:p>
            <w:r>
              <w:rPr>
                <w:sz w:val="14"/>
              </w:rPr>
              <w:t>____</w:t>
            </w:r>
          </w:p>
        </w:tc>
        <w:tc>
          <w:tcPr>
            <w:tcW w:type="dxa" w:w="2131"/>
            <w:tcMar>
              <w:top w:w="70" w:type="dxa"/>
              <w:start w:w="70" w:type="dxa"/>
              <w:bottom w:w="70" w:type="dxa"/>
              <w:end w:w="70" w:type="dxa"/>
            </w:tcMar>
          </w:tcPr>
          <w:p>
            <w:r>
              <w:rPr>
                <w:sz w:val="14"/>
              </w:rPr>
              <w:t>________________</w:t>
            </w:r>
          </w:p>
        </w:tc>
        <w:tc>
          <w:tcPr>
            <w:tcW w:type="dxa" w:w="2131"/>
            <w:tcMar>
              <w:top w:w="70" w:type="dxa"/>
              <w:start w:w="70" w:type="dxa"/>
              <w:bottom w:w="70" w:type="dxa"/>
              <w:end w:w="70" w:type="dxa"/>
            </w:tcMar>
          </w:tcPr>
          <w:p>
            <w:r>
              <w:rPr>
                <w:sz w:val="14"/>
              </w:rPr>
              <w:t>________________</w:t>
            </w:r>
          </w:p>
        </w:tc>
        <w:tc>
          <w:tcPr>
            <w:tcW w:type="dxa" w:w="2131"/>
            <w:tcMar>
              <w:top w:w="70" w:type="dxa"/>
              <w:start w:w="70" w:type="dxa"/>
              <w:bottom w:w="70" w:type="dxa"/>
              <w:end w:w="70" w:type="dxa"/>
            </w:tcMar>
          </w:tcPr>
          <w:p>
            <w:r>
              <w:rPr>
                <w:sz w:val="14"/>
              </w:rPr>
              <w:t>________________</w:t>
            </w:r>
          </w:p>
        </w:tc>
      </w:tr>
      <w:tr>
        <w:tc>
          <w:tcPr>
            <w:tcW w:type="dxa" w:w="2131"/>
            <w:tcMar>
              <w:top w:w="70" w:type="dxa"/>
              <w:start w:w="70" w:type="dxa"/>
              <w:bottom w:w="70" w:type="dxa"/>
              <w:end w:w="70" w:type="dxa"/>
            </w:tcMar>
          </w:tcPr>
          <w:p>
            <w:r>
              <w:rPr>
                <w:sz w:val="14"/>
              </w:rPr>
              <w:t>Sat</w:t>
            </w:r>
          </w:p>
        </w:tc>
        <w:tc>
          <w:tcPr>
            <w:tcW w:type="dxa" w:w="2131"/>
            <w:tcMar>
              <w:top w:w="70" w:type="dxa"/>
              <w:start w:w="70" w:type="dxa"/>
              <w:bottom w:w="70" w:type="dxa"/>
              <w:end w:w="70" w:type="dxa"/>
            </w:tcMar>
          </w:tcPr>
          <w:p>
            <w:r>
              <w:rPr>
                <w:sz w:val="14"/>
              </w:rPr>
              <w:t>____</w:t>
            </w:r>
          </w:p>
        </w:tc>
        <w:tc>
          <w:tcPr>
            <w:tcW w:type="dxa" w:w="2131"/>
            <w:tcMar>
              <w:top w:w="70" w:type="dxa"/>
              <w:start w:w="70" w:type="dxa"/>
              <w:bottom w:w="70" w:type="dxa"/>
              <w:end w:w="70" w:type="dxa"/>
            </w:tcMar>
          </w:tcPr>
          <w:p>
            <w:r>
              <w:rPr>
                <w:sz w:val="14"/>
              </w:rPr>
              <w:t>________________</w:t>
            </w:r>
          </w:p>
        </w:tc>
        <w:tc>
          <w:tcPr>
            <w:tcW w:type="dxa" w:w="2131"/>
            <w:tcMar>
              <w:top w:w="70" w:type="dxa"/>
              <w:start w:w="70" w:type="dxa"/>
              <w:bottom w:w="70" w:type="dxa"/>
              <w:end w:w="70" w:type="dxa"/>
            </w:tcMar>
          </w:tcPr>
          <w:p>
            <w:r>
              <w:rPr>
                <w:sz w:val="14"/>
              </w:rPr>
              <w:t>________________</w:t>
            </w:r>
          </w:p>
        </w:tc>
        <w:tc>
          <w:tcPr>
            <w:tcW w:type="dxa" w:w="2131"/>
            <w:tcMar>
              <w:top w:w="70" w:type="dxa"/>
              <w:start w:w="70" w:type="dxa"/>
              <w:bottom w:w="70" w:type="dxa"/>
              <w:end w:w="70" w:type="dxa"/>
            </w:tcMar>
          </w:tcPr>
          <w:p>
            <w:r>
              <w:rPr>
                <w:sz w:val="14"/>
              </w:rPr>
              <w:t>________________</w:t>
            </w:r>
          </w:p>
        </w:tc>
      </w:tr>
      <w:tr>
        <w:tc>
          <w:tcPr>
            <w:tcW w:type="dxa" w:w="2131"/>
            <w:tcMar>
              <w:top w:w="70" w:type="dxa"/>
              <w:start w:w="70" w:type="dxa"/>
              <w:bottom w:w="70" w:type="dxa"/>
              <w:end w:w="70" w:type="dxa"/>
            </w:tcMar>
          </w:tcPr>
          <w:p>
            <w:r>
              <w:rPr>
                <w:sz w:val="14"/>
              </w:rPr>
              <w:t>Sun</w:t>
            </w:r>
          </w:p>
        </w:tc>
        <w:tc>
          <w:tcPr>
            <w:tcW w:type="dxa" w:w="2131"/>
            <w:tcMar>
              <w:top w:w="70" w:type="dxa"/>
              <w:start w:w="70" w:type="dxa"/>
              <w:bottom w:w="70" w:type="dxa"/>
              <w:end w:w="70" w:type="dxa"/>
            </w:tcMar>
          </w:tcPr>
          <w:p>
            <w:r>
              <w:rPr>
                <w:sz w:val="14"/>
              </w:rPr>
              <w:t>____</w:t>
            </w:r>
          </w:p>
        </w:tc>
        <w:tc>
          <w:tcPr>
            <w:tcW w:type="dxa" w:w="2131"/>
            <w:tcMar>
              <w:top w:w="70" w:type="dxa"/>
              <w:start w:w="70" w:type="dxa"/>
              <w:bottom w:w="70" w:type="dxa"/>
              <w:end w:w="70" w:type="dxa"/>
            </w:tcMar>
          </w:tcPr>
          <w:p>
            <w:r>
              <w:rPr>
                <w:sz w:val="14"/>
              </w:rPr>
              <w:t>________________</w:t>
            </w:r>
          </w:p>
        </w:tc>
        <w:tc>
          <w:tcPr>
            <w:tcW w:type="dxa" w:w="2131"/>
            <w:tcMar>
              <w:top w:w="70" w:type="dxa"/>
              <w:start w:w="70" w:type="dxa"/>
              <w:bottom w:w="70" w:type="dxa"/>
              <w:end w:w="70" w:type="dxa"/>
            </w:tcMar>
          </w:tcPr>
          <w:p>
            <w:r>
              <w:rPr>
                <w:sz w:val="14"/>
              </w:rPr>
              <w:t>________________</w:t>
            </w:r>
          </w:p>
        </w:tc>
        <w:tc>
          <w:tcPr>
            <w:tcW w:type="dxa" w:w="2131"/>
            <w:tcMar>
              <w:top w:w="70" w:type="dxa"/>
              <w:start w:w="70" w:type="dxa"/>
              <w:bottom w:w="70" w:type="dxa"/>
              <w:end w:w="70" w:type="dxa"/>
            </w:tcMar>
          </w:tcPr>
          <w:p>
            <w:r>
              <w:rPr>
                <w:sz w:val="14"/>
              </w:rPr>
              <w:t>________________</w:t>
            </w:r>
          </w:p>
        </w:tc>
      </w:tr>
    </w:tbl>
    <w:p>
      <w:pPr>
        <w:pStyle w:val="Heading1"/>
      </w:pPr>
      <w:r>
        <w:t>Prepare for your next appointment</w:t>
      </w:r>
    </w:p>
    <w:p>
      <w:pPr>
        <w:pStyle w:val="ListBullet"/>
        <w:spacing w:after="30"/>
      </w:pPr>
      <w:r>
        <w:rPr>
          <w:sz w:val="16"/>
        </w:rPr>
        <w:t>Bring your medication/supplement list and allergies.</w:t>
      </w:r>
    </w:p>
    <w:p>
      <w:pPr>
        <w:pStyle w:val="ListBullet"/>
        <w:spacing w:after="30"/>
      </w:pPr>
      <w:r>
        <w:rPr>
          <w:sz w:val="16"/>
        </w:rPr>
        <w:t>Describe where the pain is, when it started, what it feels like, and what makes it better or worse.</w:t>
      </w:r>
    </w:p>
    <w:p>
      <w:pPr>
        <w:pStyle w:val="ListBullet"/>
        <w:spacing w:after="30"/>
      </w:pPr>
      <w:r>
        <w:rPr>
          <w:sz w:val="16"/>
        </w:rPr>
        <w:t>Share how pain affects walking, sleep, work, self-care, mood, and activities that matter to you.</w:t>
      </w:r>
    </w:p>
    <w:p>
      <w:pPr>
        <w:pStyle w:val="ListBullet"/>
        <w:spacing w:after="30"/>
      </w:pPr>
      <w:r>
        <w:rPr>
          <w:sz w:val="16"/>
        </w:rPr>
        <w:t>List treatments you have tried and whether they helped or caused side effects.</w:t>
      </w:r>
    </w:p>
    <w:p>
      <w:pPr>
        <w:pStyle w:val="ListBullet"/>
        <w:spacing w:after="30"/>
      </w:pPr>
      <w:r>
        <w:rPr>
          <w:sz w:val="16"/>
        </w:rPr>
        <w:t>Ask: What is the likely cause of my pain? What options fit my condition? What should I avoid? When should I follow up?</w:t>
      </w:r>
    </w:p>
    <w:p>
      <w:pPr>
        <w:pStyle w:val="ListBullet"/>
        <w:spacing w:after="30"/>
      </w:pPr>
      <w:r>
        <w:rPr>
          <w:sz w:val="16"/>
        </w:rPr>
        <w:t>Choose one realistic functional goal to work on before the next visit.</w:t>
      </w:r>
    </w:p>
    <w:tbl>
      <w:tblPr>
        <w:tblW w:type="auto" w:w="0"/>
        <w:jc w:val="center"/>
        <w:tblLook w:firstColumn="1" w:firstRow="1" w:lastColumn="0" w:lastRow="0" w:noHBand="0" w:noVBand="1" w:val="04A0"/>
      </w:tblPr>
      <w:tblGrid>
        <w:gridCol w:w="10656"/>
      </w:tblGrid>
      <w:tr>
        <w:tc>
          <w:tcPr>
            <w:tcW w:type="dxa" w:w="10656"/>
            <w:shd w:fill="EAF7F8"/>
            <w:tcMar>
              <w:top w:w="120" w:type="dxa"/>
              <w:start w:w="120" w:type="dxa"/>
              <w:bottom w:w="120" w:type="dxa"/>
              <w:end w:w="120" w:type="dxa"/>
            </w:tcMar>
          </w:tcPr>
          <w:p>
            <w:r>
              <w:rPr>
                <w:b/>
                <w:color w:val="07879A"/>
                <w:sz w:val="20"/>
              </w:rPr>
              <w:t>Keep learning</w:t>
            </w:r>
          </w:p>
          <w:p>
            <w:pPr>
              <w:spacing w:after="0"/>
            </w:pPr>
            <w:r>
              <w:rPr>
                <w:sz w:val="17"/>
              </w:rPr>
              <w:t>Explore more free pain education, assessment tools, appointment resources, and non-opioid pain relief information at LeanPainRelief.com.</w:t>
            </w:r>
          </w:p>
        </w:tc>
      </w:tr>
    </w:tbl>
    <w:p>
      <w:pPr>
        <w:jc w:val="center"/>
      </w:pPr>
      <w:r>
        <w:rPr>
          <w:b/>
          <w:color w:val="07879A"/>
          <w:sz w:val="20"/>
        </w:rPr>
        <w:t>Understand Pain. Explore Options. Improve Function.</w:t>
      </w:r>
    </w:p>
    <w:p>
      <w:pPr>
        <w:spacing w:before="40" w:after="0"/>
      </w:pPr>
      <w:r>
        <w:rPr>
          <w:color w:val="5B6570"/>
          <w:sz w:val="13"/>
        </w:rPr>
        <w:t>Free educational resource from Lean Pain Relief Initiative. Not a substitute for individualized medical evaluation, diagnosis, or treatment.</w:t>
      </w:r>
    </w:p>
    <w:sectPr w:rsidR="00FC693F" w:rsidRPr="0006063C" w:rsidSect="00034616">
      <w:footerReference w:type="default" r:id="rId9"/>
      <w:pgSz w:w="12240" w:h="15840"/>
      <w:pgMar w:top="605" w:right="792" w:bottom="605"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570"/>
        <w:sz w:val="15"/>
      </w:rPr>
      <w:t>Lean Pain Relief Initiative  |  LeanPainRelief.com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 w:after="100"/>
      <w:outlineLvl w:val="0"/>
    </w:pPr>
    <w:rPr>
      <w:rFonts w:asciiTheme="majorHAnsi" w:eastAsiaTheme="majorEastAsia" w:hAnsiTheme="majorHAnsi" w:cstheme="majorBidi" w:ascii="Aptos" w:hAnsi="Aptos"/>
      <w:b/>
      <w:bCs/>
      <w:color w:val="15515A"/>
      <w:sz w:val="34"/>
      <w:szCs w:val="28"/>
    </w:rPr>
  </w:style>
  <w:style w:type="paragraph" w:styleId="Heading2">
    <w:name w:val="heading 2"/>
    <w:basedOn w:val="Normal"/>
    <w:next w:val="Normal"/>
    <w:link w:val="Heading2Char"/>
    <w:uiPriority w:val="9"/>
    <w:unhideWhenUsed/>
    <w:qFormat/>
    <w:rsid w:val="00FC693F"/>
    <w:pPr>
      <w:keepNext/>
      <w:keepLines/>
      <w:spacing w:before="40" w:after="100"/>
      <w:outlineLvl w:val="1"/>
    </w:pPr>
    <w:rPr>
      <w:rFonts w:asciiTheme="majorHAnsi" w:eastAsiaTheme="majorEastAsia" w:hAnsiTheme="majorHAnsi" w:cstheme="majorBidi" w:ascii="Aptos" w:hAnsi="Aptos"/>
      <w:b/>
      <w:bCs/>
      <w:color w:val="07879A"/>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40"/>
      <w:contextualSpacing/>
    </w:pPr>
    <w:rPr>
      <w:rFonts w:asciiTheme="majorHAnsi" w:eastAsiaTheme="majorEastAsia" w:hAnsiTheme="majorHAnsi" w:cstheme="majorBidi" w:ascii="Aptos" w:hAnsi="Aptos"/>
      <w:b/>
      <w:color w:val="07879A"/>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