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line="254" w:lineRule="auto"/>
      </w:pPr>
      <w:r>
        <w:rPr>
          <w:rFonts w:ascii="Calibri" w:hAnsi="Calibri"/>
          <w:b/>
          <w:color w:val="007E91"/>
          <w:sz w:val="17"/>
        </w:rPr>
        <w:t>RESOURCE 04  /  PRACTICE WORKSHEET</w:t>
      </w:r>
    </w:p>
    <w:p>
      <w:pPr>
        <w:pStyle w:val="Title"/>
        <w:spacing w:before="0" w:after="100" w:line="240" w:lineRule="auto"/>
      </w:pPr>
      <w:r>
        <w:t>Pain Medication Safety Study Sheet</w:t>
      </w:r>
    </w:p>
    <w:p>
      <w:pPr>
        <w:spacing w:before="0" w:after="160" w:line="254" w:lineRule="auto"/>
      </w:pPr>
      <w:r>
        <w:rPr>
          <w:rFonts w:ascii="Calibri" w:hAnsi="Calibri"/>
          <w:b w:val="0"/>
          <w:color w:val="4C626B"/>
          <w:sz w:val="21"/>
        </w:rPr>
        <w:t>Study one medication using an approved drug reference and supervised clinical reasoning.</w:t>
      </w:r>
    </w:p>
    <w:p>
      <w:pPr>
        <w:spacing w:before="0" w:after="100" w:line="254" w:lineRule="auto"/>
      </w:pPr>
      <w:r>
        <w:rPr>
          <w:rFonts w:ascii="Calibri" w:hAnsi="Calibri"/>
          <w:b w:val="0"/>
          <w:color w:val="4C626B"/>
          <w:sz w:val="17"/>
        </w:rPr>
        <w:t>For supervised learning or simulation. Use a case code only; omit patient identifiers. Never upload completed worksheets containing patient information.</w:t>
      </w:r>
    </w:p>
    <w:p>
      <w:pPr>
        <w:spacing w:before="0" w:after="80" w:line="254" w:lineRule="auto"/>
      </w:pPr>
      <w:r>
        <w:rPr>
          <w:rFonts w:ascii="Calibri" w:hAnsi="Calibri"/>
          <w:b w:val="0"/>
          <w:color w:val="203C46"/>
          <w:sz w:val="19"/>
        </w:rPr>
        <w:t>Case code: __________________   Learner: __________________   Practice date: __________</w:t>
      </w:r>
    </w:p>
    <w:p>
      <w:pPr>
        <w:pStyle w:val="Heading1"/>
      </w:pPr>
      <w:r>
        <w:t>1  Identify the medicine and purpose</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160"/>
        <w:gridCol w:w="8280"/>
      </w:tblGrid>
      <w:tr>
        <w:trPr>
          <w:trHeight w:val="720"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Medication / class</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Generic name: _________________   Class: ________________</w:t>
              <w:br/>
              <w:t>Indication in this learning case: __________________________</w:t>
            </w:r>
          </w:p>
        </w:tc>
      </w:tr>
      <w:tr>
        <w:trPr>
          <w:trHeight w:val="720"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Verified regimen</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Dose, route, frequency, and PRN (as needed) indication from the order:</w:t>
              <w:br/>
              <w:t>_______________________________________________________</w:t>
            </w:r>
          </w:p>
        </w:tc>
      </w:tr>
      <w:tr>
        <w:trPr>
          <w:trHeight w:val="720"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Reference / review</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Approved source, version/date accessed: __________________</w:t>
              <w:br/>
              <w:t>Supervisor review: _____________________________________</w:t>
            </w:r>
          </w:p>
        </w:tc>
      </w:tr>
    </w:tbl>
    <w:p>
      <w:pPr>
        <w:pStyle w:val="Heading1"/>
      </w:pPr>
      <w:r>
        <w:t>2  Complete the pre-administration study check [1-3]</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160"/>
        <w:gridCol w:w="8280"/>
      </w:tblGrid>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Reconciliation</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Allergies/reactions; other prescriptions, OTC products, supplements;</w:t>
              <w:br/>
              <w:t>last dose; duplicate ingredients/classes: ____________________</w:t>
            </w:r>
          </w:p>
        </w:tc>
      </w:tr>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Patient factors</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Renal/hepatic function, bleeding/ulcer history, pregnancy concerns,</w:t>
              <w:br/>
              <w:t>respiratory disease, falls, or other relevant risks: _______________</w:t>
            </w:r>
          </w:p>
        </w:tc>
      </w:tr>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Monitoring</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Relevant labs, vitals, alertness, interactions, and parameters</w:t>
              <w:br/>
              <w:t>from the order/policy: ___________________________________</w:t>
            </w:r>
          </w:p>
        </w:tc>
      </w:tr>
    </w:tbl>
    <w:p>
      <w:pPr>
        <w:pStyle w:val="Heading1"/>
      </w:pPr>
      <w:r>
        <w:t>3  Define benefit, risk, and teaching</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160"/>
        <w:gridCol w:w="8280"/>
      </w:tblGrid>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Intended benefit</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Pain type targeted and functional goal: ____________________</w:t>
              <w:br/>
              <w:t>How and when will benefit be reassessed? __________________</w:t>
            </w:r>
          </w:p>
        </w:tc>
      </w:tr>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Safety / education</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Key adverse effects, when to report, safe use/storage, and teach-back:</w:t>
              <w:br/>
              <w:t>_______________________________________________________</w:t>
            </w:r>
          </w:p>
        </w:tc>
      </w:tr>
    </w:tbl>
    <w:p>
      <w:pPr>
        <w:keepNext/>
        <w:spacing w:before="80" w:after="20" w:line="254" w:lineRule="auto"/>
      </w:pPr>
      <w:r>
        <w:rPr>
          <w:rFonts w:ascii="Calibri" w:hAnsi="Calibri"/>
          <w:b/>
          <w:color w:val="203C46"/>
          <w:sz w:val="19"/>
        </w:rPr>
        <w:t>Unanswered question to resolve with the pharmacist / supervising clinician:</w:t>
      </w:r>
    </w:p>
    <w:p>
      <w:pPr>
        <w:spacing w:before="0" w:after="0" w:line="360" w:lineRule="exact"/>
        <w:pBdr>
          <w:bottom w:val="single" w:sz="3" w:color="C4D5DA"/>
        </w:pBdr>
      </w:pPr>
      <w:r>
        <w:rPr>
          <w:rFonts w:ascii="Calibri" w:hAnsi="Calibri"/>
          <w:b w:val="0"/>
          <w:color w:val="203C46"/>
          <w:sz w:val="20"/>
        </w:rPr>
      </w:r>
      <w:r>
        <w:rPr>
          <w:rFonts w:ascii="Calibri" w:hAnsi="Calibri"/>
          <w:sz w:val="20"/>
        </w:rPr>
        <w:t xml:space="preserve"> </w:t>
      </w:r>
    </w:p>
    <w:p>
      <w:pPr>
        <w:spacing w:before="100" w:after="0" w:line="254" w:lineRule="auto"/>
      </w:pPr>
      <w:r>
        <w:rPr>
          <w:rFonts w:ascii="Calibri" w:hAnsi="Calibri"/>
          <w:b/>
          <w:color w:val="007E91"/>
          <w:sz w:val="17"/>
        </w:rPr>
        <w:t>Study worksheet only. Do not use it to prescribe, calculate a new dose, change an order, or authorize medication administration.</w:t>
      </w:r>
    </w:p>
    <w:p>
      <w:r>
        <w:br w:type="page"/>
      </w:r>
    </w:p>
    <w:p>
      <w:pPr>
        <w:spacing w:before="0" w:after="60" w:line="254" w:lineRule="auto"/>
      </w:pPr>
      <w:r>
        <w:rPr>
          <w:rFonts w:ascii="Calibri" w:hAnsi="Calibri"/>
          <w:b/>
          <w:color w:val="007E91"/>
          <w:sz w:val="17"/>
        </w:rPr>
        <w:t>RESOURCE 04  /  LEARNING NOTES &amp; SELF-CHECK</w:t>
      </w:r>
    </w:p>
    <w:p>
      <w:pPr>
        <w:pStyle w:val="Title"/>
        <w:spacing w:before="0" w:after="100" w:line="240" w:lineRule="auto"/>
      </w:pPr>
      <w:r>
        <w:t>Look Beyond the Drug Name</w:t>
      </w:r>
    </w:p>
    <w:p>
      <w:pPr>
        <w:spacing w:before="0" w:after="160" w:line="254" w:lineRule="auto"/>
      </w:pPr>
      <w:r>
        <w:rPr>
          <w:rFonts w:ascii="Calibri" w:hAnsi="Calibri"/>
          <w:b w:val="0"/>
          <w:color w:val="4C626B"/>
          <w:sz w:val="21"/>
        </w:rPr>
        <w:t>Non-opioid does not mean risk-free. Use current labeling, orders, and site policy.</w:t>
      </w:r>
    </w:p>
    <w:p>
      <w:pPr>
        <w:pStyle w:val="Heading1"/>
      </w:pPr>
      <w:r>
        <w:t>Safety points to investigate [1-3]</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448"/>
        <w:gridCol w:w="7992"/>
      </w:tblGrid>
      <w:tr>
        <w:trPr>
          <w:tblHeader/>
        </w:trPr>
        <w:tc>
          <w:tcPr>
            <w:tcW w:type="dxa" w:w="2448"/>
            <w:shd w:fill="007E91"/>
            <w:tcMar>
              <w:top w:w="70" w:type="dxa"/>
              <w:bottom w:w="70" w:type="dxa"/>
              <w:start w:w="95" w:type="dxa"/>
              <w:end w:w="95" w:type="dxa"/>
            </w:tcMar>
            <w:vAlign w:val="center"/>
          </w:tcPr>
          <w:p>
            <w:pPr>
              <w:spacing w:after="0" w:before="0" w:line="245" w:lineRule="auto"/>
            </w:pPr>
            <w:r>
              <w:rPr>
                <w:rFonts w:ascii="Calibri" w:hAnsi="Calibri"/>
                <w:b/>
                <w:color w:val="FFFFFF"/>
                <w:sz w:val="19"/>
              </w:rPr>
              <w:t>Medication group</w:t>
            </w:r>
          </w:p>
        </w:tc>
        <w:tc>
          <w:tcPr>
            <w:tcW w:type="dxa" w:w="7992"/>
            <w:shd w:fill="007E91"/>
            <w:tcMar>
              <w:top w:w="70" w:type="dxa"/>
              <w:bottom w:w="70" w:type="dxa"/>
              <w:start w:w="95" w:type="dxa"/>
              <w:end w:w="95" w:type="dxa"/>
            </w:tcMar>
            <w:vAlign w:val="center"/>
          </w:tcPr>
          <w:p>
            <w:pPr>
              <w:spacing w:after="0" w:before="0" w:line="245" w:lineRule="auto"/>
            </w:pPr>
            <w:r>
              <w:rPr>
                <w:rFonts w:ascii="Calibri" w:hAnsi="Calibri"/>
                <w:b/>
                <w:color w:val="FFFFFF"/>
                <w:sz w:val="19"/>
              </w:rPr>
              <w:t>Questions for the student</w:t>
            </w:r>
          </w:p>
        </w:tc>
      </w:tr>
      <w:tr>
        <w:trPr>
          <w:trHeight w:val="806" w:hRule="atLeast"/>
          <w:cantSplit/>
        </w:trPr>
        <w:tc>
          <w:tcPr>
            <w:tcW w:type="dxa" w:w="2448"/>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Acetaminophen</w:t>
            </w:r>
          </w:p>
        </w:tc>
        <w:tc>
          <w:tcPr>
            <w:tcW w:type="dxa" w:w="7992"/>
            <w:tcMar>
              <w:top w:w="70" w:type="dxa"/>
              <w:bottom w:w="70" w:type="dxa"/>
              <w:start w:w="95" w:type="dxa"/>
              <w:end w:w="95" w:type="dxa"/>
            </w:tcMar>
            <w:vAlign w:val="center"/>
          </w:tcPr>
          <w:p>
            <w:pPr>
              <w:spacing w:after="0" w:before="0" w:line="245" w:lineRule="auto"/>
            </w:pPr>
            <w:r>
              <w:rPr>
                <w:rFonts w:ascii="Calibri" w:hAnsi="Calibri"/>
                <w:b w:val="0"/>
                <w:color w:val="4C626B"/>
                <w:sz w:val="19"/>
              </w:rPr>
              <w:t>Is it also in a combination product? What total daily amount is ordered across all products? What liver-related risks or individualized limits need review?</w:t>
            </w:r>
          </w:p>
        </w:tc>
      </w:tr>
      <w:tr>
        <w:trPr>
          <w:trHeight w:val="806" w:hRule="atLeast"/>
          <w:cantSplit/>
        </w:trPr>
        <w:tc>
          <w:tcPr>
            <w:tcW w:type="dxa" w:w="2448"/>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NSAIDs</w:t>
            </w:r>
          </w:p>
        </w:tc>
        <w:tc>
          <w:tcPr>
            <w:tcW w:type="dxa" w:w="7992"/>
            <w:tcMar>
              <w:top w:w="70" w:type="dxa"/>
              <w:bottom w:w="70" w:type="dxa"/>
              <w:start w:w="95" w:type="dxa"/>
              <w:end w:w="95" w:type="dxa"/>
            </w:tcMar>
            <w:vAlign w:val="center"/>
          </w:tcPr>
          <w:p>
            <w:pPr>
              <w:spacing w:after="0" w:before="0" w:line="245" w:lineRule="auto"/>
            </w:pPr>
            <w:r>
              <w:rPr>
                <w:rFonts w:ascii="Calibri" w:hAnsi="Calibri"/>
                <w:b w:val="0"/>
                <w:color w:val="4C626B"/>
                <w:sz w:val="19"/>
              </w:rPr>
              <w:t>Nonsteroidal anti-inflammatory drugs, such as ibuprofen, naproxen, and diclofenac. Check kidney, gastrointestinal/bleeding, cardiovascular, and pregnancy-related risks; avoid assuming topical products are risk-free.</w:t>
            </w:r>
          </w:p>
        </w:tc>
      </w:tr>
      <w:tr>
        <w:trPr>
          <w:trHeight w:val="806" w:hRule="atLeast"/>
          <w:cantSplit/>
        </w:trPr>
        <w:tc>
          <w:tcPr>
            <w:tcW w:type="dxa" w:w="2448"/>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Topical pain medicines</w:t>
            </w:r>
          </w:p>
        </w:tc>
        <w:tc>
          <w:tcPr>
            <w:tcW w:type="dxa" w:w="7992"/>
            <w:tcMar>
              <w:top w:w="70" w:type="dxa"/>
              <w:bottom w:w="70" w:type="dxa"/>
              <w:start w:w="95" w:type="dxa"/>
              <w:end w:w="95" w:type="dxa"/>
            </w:tcMar>
            <w:vAlign w:val="center"/>
          </w:tcPr>
          <w:p>
            <w:pPr>
              <w:spacing w:after="0" w:before="0" w:line="245" w:lineRule="auto"/>
            </w:pPr>
            <w:r>
              <w:rPr>
                <w:rFonts w:ascii="Calibri" w:hAnsi="Calibri"/>
                <w:b w:val="0"/>
                <w:color w:val="4C626B"/>
                <w:sz w:val="19"/>
              </w:rPr>
              <w:t>Confirm the exact ingredient, indication, application limits, skin condition, heat restrictions, and safe disposal on the product label.</w:t>
            </w:r>
          </w:p>
        </w:tc>
      </w:tr>
      <w:tr>
        <w:trPr>
          <w:trHeight w:val="806" w:hRule="atLeast"/>
          <w:cantSplit/>
        </w:trPr>
        <w:tc>
          <w:tcPr>
            <w:tcW w:type="dxa" w:w="2448"/>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Selected prescription non-opioids</w:t>
            </w:r>
          </w:p>
        </w:tc>
        <w:tc>
          <w:tcPr>
            <w:tcW w:type="dxa" w:w="7992"/>
            <w:tcMar>
              <w:top w:w="70" w:type="dxa"/>
              <w:bottom w:w="70" w:type="dxa"/>
              <w:start w:w="95" w:type="dxa"/>
              <w:end w:w="95" w:type="dxa"/>
            </w:tcMar>
            <w:vAlign w:val="center"/>
          </w:tcPr>
          <w:p>
            <w:pPr>
              <w:spacing w:after="0" w:before="0" w:line="245" w:lineRule="auto"/>
            </w:pPr>
            <w:r>
              <w:rPr>
                <w:rFonts w:ascii="Calibri" w:hAnsi="Calibri"/>
                <w:b w:val="0"/>
                <w:color w:val="4C626B"/>
                <w:sz w:val="19"/>
              </w:rPr>
              <w:t>Examples: duloxetine, gabapentin, pregabalin. Verify the specific pain indication, interactions, adjustment needs, sedation/falls, and stopping instructions. Gabapentinoids can add breathing risk with opioids or other risk factors.</w:t>
            </w:r>
          </w:p>
        </w:tc>
      </w:tr>
      <w:tr>
        <w:trPr>
          <w:trHeight w:val="806" w:hRule="atLeast"/>
          <w:cantSplit/>
        </w:trPr>
        <w:tc>
          <w:tcPr>
            <w:tcW w:type="dxa" w:w="2448"/>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Opioids</w:t>
            </w:r>
          </w:p>
        </w:tc>
        <w:tc>
          <w:tcPr>
            <w:tcW w:type="dxa" w:w="7992"/>
            <w:tcMar>
              <w:top w:w="70" w:type="dxa"/>
              <w:bottom w:w="70" w:type="dxa"/>
              <w:start w:w="95" w:type="dxa"/>
              <w:end w:w="95" w:type="dxa"/>
            </w:tcMar>
            <w:vAlign w:val="center"/>
          </w:tcPr>
          <w:p>
            <w:pPr>
              <w:spacing w:after="0" w:before="0" w:line="245" w:lineRule="auto"/>
            </w:pPr>
            <w:r>
              <w:rPr>
                <w:rFonts w:ascii="Calibri" w:hAnsi="Calibri"/>
                <w:b w:val="0"/>
                <w:color w:val="4C626B"/>
                <w:sz w:val="19"/>
              </w:rPr>
              <w:t>Verify indication, functional goal, last dose, alertness/breathing, interacting sedatives, adverse-effect prevention, and monitoring. Ask about naloxone education and secure storage.</w:t>
            </w:r>
          </w:p>
        </w:tc>
      </w:tr>
    </w:tbl>
    <w:p>
      <w:pPr>
        <w:pStyle w:val="Heading1"/>
      </w:pPr>
      <w:r>
        <w:t>Opioid safety learning check [1,3]</w:t>
      </w:r>
    </w:p>
    <w:p>
      <w:pPr>
        <w:spacing w:before="0" w:after="60" w:line="254" w:lineRule="auto"/>
      </w:pPr>
      <w:r>
        <w:rPr>
          <w:rFonts w:ascii="Calibri" w:hAnsi="Calibri"/>
          <w:b w:val="0"/>
          <w:color w:val="203C46"/>
          <w:sz w:val="19"/>
        </w:rPr>
        <w:t>[  ] I checked for alcohol, benzodiazepines, and other sedating medicines.</w:t>
      </w:r>
    </w:p>
    <w:p>
      <w:pPr>
        <w:spacing w:before="0" w:after="60" w:line="254" w:lineRule="auto"/>
      </w:pPr>
      <w:r>
        <w:rPr>
          <w:rFonts w:ascii="Calibri" w:hAnsi="Calibri"/>
          <w:b w:val="0"/>
          <w:color w:val="203C46"/>
          <w:sz w:val="19"/>
        </w:rPr>
        <w:t>[  ] I know the site's sedation/respiratory assessment and escalation process.</w:t>
      </w:r>
    </w:p>
    <w:p>
      <w:pPr>
        <w:spacing w:before="0" w:after="60" w:line="254" w:lineRule="auto"/>
      </w:pPr>
      <w:r>
        <w:rPr>
          <w:rFonts w:ascii="Calibri" w:hAnsi="Calibri"/>
          <w:b w:val="0"/>
          <w:color w:val="203C46"/>
          <w:sz w:val="19"/>
        </w:rPr>
        <w:t>[  ] I can explain that naloxone does not replace an emergency response.</w:t>
      </w:r>
    </w:p>
    <w:p>
      <w:pPr>
        <w:spacing w:before="0" w:after="60" w:line="254" w:lineRule="auto"/>
      </w:pPr>
      <w:r>
        <w:rPr>
          <w:rFonts w:ascii="Calibri" w:hAnsi="Calibri"/>
          <w:b w:val="0"/>
          <w:color w:val="203C46"/>
          <w:sz w:val="19"/>
        </w:rPr>
        <w:t>[  ] I would not recommend abrupt discontinuation or a taper from this worksheet.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440"/>
      </w:tblGrid>
      <w:tr>
        <w:trPr>
          <w:cantSplit/>
        </w:trPr>
        <w:tc>
          <w:tcPr>
            <w:tcW w:type="dxa" w:w="10440"/>
            <w:shd w:fill="FFF5E6"/>
            <w:tcMar>
              <w:top w:w="85" w:type="dxa"/>
              <w:bottom w:w="85" w:type="dxa"/>
              <w:start w:w="120" w:type="dxa"/>
              <w:end w:w="120" w:type="dxa"/>
            </w:tcMar>
          </w:tcPr>
          <w:p>
            <w:pPr>
              <w:spacing w:after="40" w:line="245" w:lineRule="auto"/>
            </w:pPr>
            <w:r>
              <w:rPr>
                <w:rFonts w:ascii="Calibri" w:hAnsi="Calibri"/>
                <w:b/>
                <w:color w:val="007E91"/>
                <w:sz w:val="19"/>
              </w:rPr>
              <w:t>Act on respiratory warning signs</w:t>
            </w:r>
          </w:p>
          <w:p>
            <w:pPr>
              <w:spacing w:after="0" w:line="247" w:lineRule="auto"/>
            </w:pPr>
            <w:r>
              <w:rPr>
                <w:rFonts w:ascii="Calibri" w:hAnsi="Calibri"/>
                <w:b w:val="0"/>
                <w:color w:val="203C46"/>
                <w:sz w:val="19"/>
              </w:rPr>
              <w:t>If a patient is difficult to awaken or has slow, shallow breathing, activate the site's emergency response and notify the supervising clinician immediately. Follow emergency protocols, including naloxone when indicated and within training/authorization.</w:t>
            </w:r>
          </w:p>
        </w:tc>
      </w:tr>
    </w:tbl>
    <w:p>
      <w:pPr>
        <w:pStyle w:val="Heading1"/>
      </w:pPr>
      <w:r>
        <w:t>Teaching sources</w:t>
      </w:r>
    </w:p>
    <w:p>
      <w:pPr>
        <w:spacing w:before="0" w:after="60" w:line="254" w:lineRule="auto"/>
      </w:pPr>
      <w:r>
        <w:rPr>
          <w:rFonts w:ascii="Calibri" w:hAnsi="Calibri"/>
          <w:b w:val="0"/>
          <w:color w:val="4C626B"/>
          <w:sz w:val="15"/>
        </w:rPr>
        <w:t xml:space="preserve">[1] Dowell, D., et al. (2022). CDC Clinical Practice Guideline for Prescribing Opioids for Pain - United States, 2022. MMWR, 71(RR-3), 1-95. </w:t>
      </w:r>
      <w:hyperlink r:id="rId11">
        <w:r>
          <w:rPr>
            <w:rFonts w:ascii="Calibri" w:hAnsi="Calibri"/>
            <w:color w:val="007E91"/>
            <w:sz w:val="15"/>
          </w:rPr>
          <w:t>Source</w:t>
        </w:r>
      </w:hyperlink>
    </w:p>
    <w:p>
      <w:pPr>
        <w:spacing w:before="0" w:after="60" w:line="254" w:lineRule="auto"/>
      </w:pPr>
      <w:r>
        <w:rPr>
          <w:rFonts w:ascii="Calibri" w:hAnsi="Calibri"/>
          <w:b w:val="0"/>
          <w:color w:val="4C626B"/>
          <w:sz w:val="15"/>
        </w:rPr>
        <w:t xml:space="preserve">[2] National Library of Medicine. Pain relievers. MedlinePlus. General medication education; consult current product labeling for individual medicines. </w:t>
      </w:r>
      <w:hyperlink r:id="rId12">
        <w:r>
          <w:rPr>
            <w:rFonts w:ascii="Calibri" w:hAnsi="Calibri"/>
            <w:color w:val="007E91"/>
            <w:sz w:val="15"/>
          </w:rPr>
          <w:t>Source</w:t>
        </w:r>
      </w:hyperlink>
    </w:p>
    <w:p>
      <w:pPr>
        <w:spacing w:before="0" w:after="60" w:line="254" w:lineRule="auto"/>
      </w:pPr>
      <w:r>
        <w:rPr>
          <w:rFonts w:ascii="Calibri" w:hAnsi="Calibri"/>
          <w:b w:val="0"/>
          <w:color w:val="4C626B"/>
          <w:sz w:val="15"/>
        </w:rPr>
        <w:t xml:space="preserve">[3] U.S. Food and Drug Administration (2019, December 19). Drug Safety Communication: Serious breathing problems with gabapentin and pregabalin, especially with respiratory risk factors. </w:t>
      </w:r>
      <w:hyperlink r:id="rId13">
        <w:r>
          <w:rPr>
            <w:rFonts w:ascii="Calibri" w:hAnsi="Calibri"/>
            <w:color w:val="007E91"/>
            <w:sz w:val="15"/>
          </w:rPr>
          <w:t>Source</w:t>
        </w:r>
      </w:hyperlink>
    </w:p>
    <w:p>
      <w:pPr>
        <w:spacing w:before="0" w:after="60" w:line="254" w:lineRule="auto"/>
      </w:pPr>
      <w:r>
        <w:rPr>
          <w:rFonts w:ascii="Calibri" w:hAnsi="Calibri"/>
          <w:b w:val="0"/>
          <w:color w:val="4C626B"/>
          <w:sz w:val="15"/>
        </w:rPr>
        <w:t>CDC 2022 guidance addresses adult outpatient prescribing, not sickle cell disease, cancer-related pain, palliative care, or end-of-life care. FDA link opens its safety-information hub; search the named 2019 communication. Verify current labeling before clinical use.</w:t>
      </w:r>
    </w:p>
    <w:p>
      <w:pPr>
        <w:spacing w:before="0" w:after="0" w:line="254" w:lineRule="auto"/>
      </w:pPr>
      <w:r>
        <w:rPr>
          <w:rFonts w:ascii="Calibri" w:hAnsi="Calibri"/>
          <w:b w:val="0"/>
          <w:color w:val="4C626B"/>
          <w:sz w:val="15"/>
        </w:rPr>
        <w:t>Original educational worksheet, not a validated assessment instrument, medication order, or clinical protocol. Follow current site policies, approved resources, and supervision requirements.</w:t>
      </w:r>
    </w:p>
    <w:sectPr w:rsidR="00FC693F" w:rsidRPr="0006063C" w:rsidSect="00034616">
      <w:headerReference w:type="default" r:id="rId9"/>
      <w:footerReference w:type="default" r:id="rId10"/>
      <w:pgSz w:w="12240" w:h="15840"/>
      <w:pgMar w:top="1195" w:right="900" w:bottom="864" w:left="900" w:header="288"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spacing w:after="0"/>
      <w:pBdr>
        <w:top w:val="single" w:sz="5" w:color="C4D5DA" w:space="6"/>
      </w:pBdr>
    </w:pPr>
    <w:hyperlink r:id="rId1">
      <w:r>
        <w:rPr>
          <w:rFonts w:ascii="Calibri" w:hAnsi="Calibri"/>
          <w:color w:val="007E91"/>
          <w:sz w:val="16"/>
        </w:rPr>
        <w:t>LeanPainRelief.com</w:t>
      </w:r>
    </w:hyperlink>
    <w:r>
      <w:rPr>
        <w:rFonts w:ascii="Calibri" w:hAnsi="Calibri"/>
        <w:b w:val="0"/>
        <w:color w:val="4C626B"/>
        <w:sz w:val="16"/>
      </w:rPr>
      <w:t xml:space="preserve">  |  Free student resource 04</w:t>
      <w:tab/>
    </w:r>
    <w:r>
      <w:rPr>
        <w:rFonts w:ascii="Calibri" w:hAnsi="Calibri"/>
        <w:b w:val="0"/>
        <w:color w:val="4C626B"/>
        <w:sz w:val="16"/>
      </w:rPr>
      <w:t xml:space="preserve">Page </w:t>
    </w:r>
    <w:fldSimple w:instr="PAGE"/>
    <w:r>
      <w:rPr>
        <w:rFonts w:ascii="Calibri" w:hAnsi="Calibri"/>
        <w:b w:val="0"/>
        <w:color w:val="4C626B"/>
        <w:sz w:val="16"/>
      </w:rPr>
      <w:t xml:space="preserve"> of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144"/>
      <w:gridCol w:w="1296"/>
    </w:tblGrid>
    <w:tr>
      <w:tc>
        <w:tcPr>
          <w:tcW w:type="dxa" w:w="9144"/>
          <w:tcMar>
            <w:top w:w="0" w:type="dxa"/>
            <w:bottom w:w="0" w:type="dxa"/>
            <w:start w:w="0" w:type="dxa"/>
            <w:end w:w="0" w:type="dxa"/>
          </w:tcMar>
          <w:vAlign w:val="center"/>
        </w:tcPr>
        <w:p>
          <w:pPr>
            <w:spacing w:after="0" w:before="0" w:line="245" w:lineRule="auto"/>
          </w:pPr>
          <w:r>
            <w:rPr>
              <w:rFonts w:ascii="Calibri" w:hAnsi="Calibri"/>
              <w:b/>
              <w:color w:val="007E91"/>
              <w:sz w:val="19"/>
            </w:rPr>
            <w:t>LEAN PAIN RELIEF INITIATIVE</w:t>
          </w:r>
        </w:p>
        <w:p>
          <w:pPr>
            <w:spacing w:after="0"/>
          </w:pPr>
          <w:r>
            <w:rPr>
              <w:rFonts w:ascii="Calibri" w:hAnsi="Calibri"/>
              <w:b w:val="0"/>
              <w:color w:val="4C626B"/>
              <w:sz w:val="15"/>
            </w:rPr>
            <w:t>HEALTHCARE STUDENT LEARNING SERIES</w:t>
          </w:r>
        </w:p>
      </w:tc>
      <w:tc>
        <w:tcPr>
          <w:tcW w:type="dxa" w:w="1296"/>
          <w:tcMar>
            <w:top w:w="0" w:type="dxa"/>
            <w:bottom w:w="0" w:type="dxa"/>
            <w:start w:w="0" w:type="dxa"/>
            <w:end w:w="0" w:type="dxa"/>
          </w:tcMar>
        </w:tcPr>
        <w:p>
          <w:pPr>
            <w:spacing w:after="0"/>
            <w:jc w:val="right"/>
          </w:pPr>
          <w:r>
            <w:drawing>
              <wp:inline xmlns:a="http://schemas.openxmlformats.org/drawingml/2006/main" xmlns:pic="http://schemas.openxmlformats.org/drawingml/2006/picture">
                <wp:extent cx="594360" cy="594360"/>
                <wp:docPr id="1" name="Picture 1" descr="Lean Pain Relief Initiative logo" title="Lean Pain Relief Initiative"/>
                <wp:cNvGraphicFramePr>
                  <a:graphicFrameLocks noChangeAspect="1"/>
                </wp:cNvGraphicFramePr>
                <a:graphic>
                  <a:graphicData uri="http://schemas.openxmlformats.org/drawingml/2006/picture">
                    <pic:pic>
                      <pic:nvPicPr>
                        <pic:cNvPr id="0" name="web main logo vertical 400 x 100px.png"/>
                        <pic:cNvPicPr/>
                      </pic:nvPicPr>
                      <pic:blipFill>
                        <a:blip r:embed="rId1"/>
                        <a:stretch>
                          <a:fillRect/>
                        </a:stretch>
                      </pic:blipFill>
                      <pic:spPr>
                        <a:xfrm>
                          <a:off x="0" y="0"/>
                          <a:ext cx="594360" cy="59436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Calibri" w:hAnsi="Calibri"/>
      <w:color w:val="203C46"/>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7E91"/>
      <w:sz w:val="24"/>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ascii="Calibri" w:hAnsi="Calibri"/>
      <w:b/>
      <w:bCs/>
      <w:color w:val="203C46"/>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007E91"/>
      </w:pBdr>
      <w:spacing w:after="80" w:line="240" w:lineRule="auto" w:before="100"/>
      <w:contextualSpacing/>
    </w:pPr>
    <w:rPr>
      <w:rFonts w:asciiTheme="majorHAnsi" w:eastAsiaTheme="majorEastAsia" w:hAnsiTheme="majorHAnsi" w:cstheme="majorBidi" w:ascii="Calibri" w:hAnsi="Calibri"/>
      <w:b/>
      <w:color w:val="203C4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5585/mmwr.rr7103a1" TargetMode="External"/><Relationship Id="rId12" Type="http://schemas.openxmlformats.org/officeDocument/2006/relationships/hyperlink" Target="https://medlineplus.gov/painrelievers.html" TargetMode="External"/><Relationship Id="rId13" Type="http://schemas.openxmlformats.org/officeDocument/2006/relationships/hyperlink" Target="https://www.fda.gov/drugs/drug-safety-and-availabilit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leanpainrelie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 Medication Safety Study Sheet</dc:title>
  <dc:subject>Free healthcare student resource | Lean Pain Relief Initiative</dc:subject>
  <dc:creator>Lean Pain Relief Initiative</dc:creator>
  <cp:keywords>pain education, healthcare students, clinical learning, worksheet</cp:keywords>
  <dc:description>Original educational worksheet. Sources are dated; clinical review is required before publication.</dc:description>
  <cp:lastModifiedBy/>
  <cp:revision>1</cp:revision>
  <dcterms:created xsi:type="dcterms:W3CDTF">2013-12-23T23:15:00Z</dcterms:created>
  <dcterms:modified xsi:type="dcterms:W3CDTF">2013-12-23T23:15:00Z</dcterms:modified>
  <cp:category/>
</cp:coreProperties>
</file>