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60" w:line="254" w:lineRule="auto"/>
      </w:pPr>
      <w:r>
        <w:rPr>
          <w:rFonts w:ascii="Calibri" w:hAnsi="Calibri"/>
          <w:b/>
          <w:color w:val="007E91"/>
          <w:sz w:val="17"/>
        </w:rPr>
        <w:t>RESOURCE 02  /  PRACTICE WORKSHEET</w:t>
      </w:r>
    </w:p>
    <w:p>
      <w:pPr>
        <w:pStyle w:val="Title"/>
        <w:spacing w:before="0" w:after="100" w:line="240" w:lineRule="auto"/>
      </w:pPr>
      <w:r>
        <w:t>Intervention &amp; Reassessment</w:t>
      </w:r>
    </w:p>
    <w:p>
      <w:pPr>
        <w:spacing w:before="0" w:after="160" w:line="254" w:lineRule="auto"/>
      </w:pPr>
      <w:r>
        <w:rPr>
          <w:rFonts w:ascii="Calibri" w:hAnsi="Calibri"/>
          <w:b w:val="0"/>
          <w:color w:val="4C626B"/>
          <w:sz w:val="21"/>
        </w:rPr>
        <w:t>Practice the full care cycle: assess, intervene, reassess, communicate, and document.</w:t>
      </w:r>
    </w:p>
    <w:p>
      <w:pPr>
        <w:spacing w:before="0" w:after="100" w:line="254" w:lineRule="auto"/>
      </w:pPr>
      <w:r>
        <w:rPr>
          <w:rFonts w:ascii="Calibri" w:hAnsi="Calibri"/>
          <w:b w:val="0"/>
          <w:color w:val="4C626B"/>
          <w:sz w:val="17"/>
        </w:rPr>
        <w:t>For supervised learning or simulation. Use a case code only; omit patient identifiers. Never upload completed worksheets containing patient information.</w:t>
      </w:r>
    </w:p>
    <w:p>
      <w:pPr>
        <w:spacing w:before="0" w:after="80" w:line="254" w:lineRule="auto"/>
      </w:pPr>
      <w:r>
        <w:rPr>
          <w:rFonts w:ascii="Calibri" w:hAnsi="Calibri"/>
          <w:b w:val="0"/>
          <w:color w:val="203C46"/>
          <w:sz w:val="19"/>
        </w:rPr>
        <w:t>Case code: __________________   Learner: __________________   Practice date: __________</w:t>
      </w:r>
    </w:p>
    <w:p>
      <w:pPr>
        <w:pStyle w:val="Heading1"/>
      </w:pPr>
      <w:r>
        <w:t>1  Establish a baseline [1,2]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color="C4D5DA"/>
          <w:left w:val="single" w:sz="4" w:color="C4D5DA"/>
          <w:bottom w:val="single" w:sz="4" w:color="C4D5DA"/>
          <w:right w:val="single" w:sz="4" w:color="C4D5DA"/>
          <w:insideH w:val="single" w:sz="4" w:color="C4D5DA"/>
          <w:insideV w:val="single" w:sz="4" w:color="C4D5DA"/>
        </w:tblBorders>
      </w:tblPr>
      <w:tblGrid>
        <w:gridCol w:w="2160"/>
        <w:gridCol w:w="8280"/>
      </w:tblGrid>
      <w:tr>
        <w:trPr>
          <w:trHeight w:val="778" w:hRule="atLeast"/>
          <w:cantSplit/>
        </w:trPr>
        <w:tc>
          <w:tcPr>
            <w:tcW w:type="dxa" w:w="2160"/>
            <w:tcMar>
              <w:top w:w="75" w:type="dxa"/>
              <w:bottom w:w="75" w:type="dxa"/>
              <w:start w:w="100" w:type="dxa"/>
              <w:end w:w="100" w:type="dxa"/>
            </w:tcMar>
            <w:shd w:fill="F5F8F9"/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/>
                <w:color w:val="203C46"/>
                <w:sz w:val="19"/>
              </w:rPr>
              <w:t>Baseline / goal</w:t>
            </w:r>
          </w:p>
        </w:tc>
        <w:tc>
          <w:tcPr>
            <w:tcW w:type="dxa" w:w="8280"/>
            <w:tcMar>
              <w:top w:w="75" w:type="dxa"/>
              <w:bottom w:w="75" w:type="dxa"/>
              <w:start w:w="100" w:type="dxa"/>
              <w:end w:w="100" w:type="dxa"/>
            </w:tcMar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 w:val="0"/>
                <w:color w:val="4C626B"/>
                <w:sz w:val="19"/>
              </w:rPr>
              <w:t>Practice time: ______   Scale / pain rating: _______________</w:t>
              <w:br/>
              <w:t>Activity affected and agreed goal: ________________________</w:t>
            </w:r>
          </w:p>
        </w:tc>
      </w:tr>
      <w:tr>
        <w:trPr>
          <w:trHeight w:val="778" w:hRule="atLeast"/>
          <w:cantSplit/>
        </w:trPr>
        <w:tc>
          <w:tcPr>
            <w:tcW w:type="dxa" w:w="2160"/>
            <w:tcMar>
              <w:top w:w="75" w:type="dxa"/>
              <w:bottom w:w="75" w:type="dxa"/>
              <w:start w:w="100" w:type="dxa"/>
              <w:end w:w="100" w:type="dxa"/>
            </w:tcMar>
            <w:shd w:fill="F5F8F9"/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/>
                <w:color w:val="203C46"/>
                <w:sz w:val="19"/>
              </w:rPr>
              <w:t>Safety / context</w:t>
            </w:r>
          </w:p>
        </w:tc>
        <w:tc>
          <w:tcPr>
            <w:tcW w:type="dxa" w:w="8280"/>
            <w:tcMar>
              <w:top w:w="75" w:type="dxa"/>
              <w:bottom w:w="75" w:type="dxa"/>
              <w:start w:w="100" w:type="dxa"/>
              <w:end w:w="100" w:type="dxa"/>
            </w:tcMar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 w:val="0"/>
                <w:color w:val="4C626B"/>
                <w:sz w:val="19"/>
              </w:rPr>
              <w:t>Relevant findings, alertness, breathing if indicated, restrictions,</w:t>
              <w:br/>
              <w:t>allergies, and patient preference: _________________________</w:t>
            </w:r>
          </w:p>
        </w:tc>
      </w:tr>
    </w:tbl>
    <w:p>
      <w:pPr>
        <w:pStyle w:val="Heading1"/>
      </w:pPr>
      <w:r>
        <w:t>2  Describe what was actually done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color="C4D5DA"/>
          <w:left w:val="single" w:sz="4" w:color="C4D5DA"/>
          <w:bottom w:val="single" w:sz="4" w:color="C4D5DA"/>
          <w:right w:val="single" w:sz="4" w:color="C4D5DA"/>
          <w:insideH w:val="single" w:sz="4" w:color="C4D5DA"/>
          <w:insideV w:val="single" w:sz="4" w:color="C4D5DA"/>
        </w:tblBorders>
      </w:tblPr>
      <w:tblGrid>
        <w:gridCol w:w="2160"/>
        <w:gridCol w:w="8280"/>
      </w:tblGrid>
      <w:tr>
        <w:trPr>
          <w:trHeight w:val="878" w:hRule="atLeast"/>
          <w:cantSplit/>
        </w:trPr>
        <w:tc>
          <w:tcPr>
            <w:tcW w:type="dxa" w:w="2160"/>
            <w:tcMar>
              <w:top w:w="75" w:type="dxa"/>
              <w:bottom w:w="75" w:type="dxa"/>
              <w:start w:w="100" w:type="dxa"/>
              <w:end w:w="100" w:type="dxa"/>
            </w:tcMar>
            <w:shd w:fill="F5F8F9"/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/>
                <w:color w:val="203C46"/>
                <w:sz w:val="19"/>
              </w:rPr>
              <w:t>Intervention</w:t>
            </w:r>
          </w:p>
        </w:tc>
        <w:tc>
          <w:tcPr>
            <w:tcW w:type="dxa" w:w="8280"/>
            <w:tcMar>
              <w:top w:w="75" w:type="dxa"/>
              <w:bottom w:w="75" w:type="dxa"/>
              <w:start w:w="100" w:type="dxa"/>
              <w:end w:w="100" w:type="dxa"/>
            </w:tcMar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 w:val="0"/>
                <w:color w:val="4C626B"/>
                <w:sz w:val="19"/>
              </w:rPr>
              <w:t>Method, patient agreement, and actual time: ______________</w:t>
              <w:br/>
              <w:t>If medication: record verified order details from an approved source.</w:t>
              <w:br/>
              <w:t>_______________________________________________________</w:t>
            </w:r>
          </w:p>
        </w:tc>
      </w:tr>
      <w:tr>
        <w:trPr>
          <w:trHeight w:val="878" w:hRule="atLeast"/>
          <w:cantSplit/>
        </w:trPr>
        <w:tc>
          <w:tcPr>
            <w:tcW w:type="dxa" w:w="2160"/>
            <w:tcMar>
              <w:top w:w="75" w:type="dxa"/>
              <w:bottom w:w="75" w:type="dxa"/>
              <w:start w:w="100" w:type="dxa"/>
              <w:end w:w="100" w:type="dxa"/>
            </w:tcMar>
            <w:shd w:fill="F5F8F9"/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/>
                <w:color w:val="203C46"/>
                <w:sz w:val="19"/>
              </w:rPr>
              <w:t>Supervision / plan</w:t>
            </w:r>
          </w:p>
        </w:tc>
        <w:tc>
          <w:tcPr>
            <w:tcW w:type="dxa" w:w="8280"/>
            <w:tcMar>
              <w:top w:w="75" w:type="dxa"/>
              <w:bottom w:w="75" w:type="dxa"/>
              <w:start w:w="100" w:type="dxa"/>
              <w:end w:w="100" w:type="dxa"/>
            </w:tcMar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 w:val="0"/>
                <w:color w:val="4C626B"/>
                <w:sz w:val="19"/>
              </w:rPr>
              <w:t>Supervising clinician / role: _____________________________</w:t>
              <w:br/>
              <w:t>Reassess at: ______   Based on intervention, condition, and policy.</w:t>
            </w:r>
          </w:p>
        </w:tc>
      </w:tr>
    </w:tbl>
    <w:p>
      <w:pPr>
        <w:pStyle w:val="Heading1"/>
      </w:pPr>
      <w:r>
        <w:t>3  Compare before and after [1,2]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color="C4D5DA"/>
          <w:left w:val="single" w:sz="4" w:color="C4D5DA"/>
          <w:bottom w:val="single" w:sz="4" w:color="C4D5DA"/>
          <w:right w:val="single" w:sz="4" w:color="C4D5DA"/>
          <w:insideH w:val="single" w:sz="4" w:color="C4D5DA"/>
          <w:insideV w:val="single" w:sz="4" w:color="C4D5DA"/>
        </w:tblBorders>
      </w:tblPr>
      <w:tblGrid>
        <w:gridCol w:w="4248"/>
        <w:gridCol w:w="3096"/>
        <w:gridCol w:w="3096"/>
      </w:tblGrid>
      <w:tr>
        <w:trPr>
          <w:tblHeader/>
        </w:trPr>
        <w:tc>
          <w:tcPr>
            <w:tcW w:type="dxa" w:w="4248"/>
            <w:shd w:fill="007E91"/>
            <w:tcMar>
              <w:top w:w="70" w:type="dxa"/>
              <w:bottom w:w="70" w:type="dxa"/>
              <w:start w:w="95" w:type="dxa"/>
              <w:end w:w="95" w:type="dxa"/>
            </w:tcMar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Measure</w:t>
            </w:r>
          </w:p>
        </w:tc>
        <w:tc>
          <w:tcPr>
            <w:tcW w:type="dxa" w:w="3096"/>
            <w:shd w:fill="007E91"/>
            <w:tcMar>
              <w:top w:w="70" w:type="dxa"/>
              <w:bottom w:w="70" w:type="dxa"/>
              <w:start w:w="95" w:type="dxa"/>
              <w:end w:w="95" w:type="dxa"/>
            </w:tcMar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Before intervention</w:t>
            </w:r>
          </w:p>
        </w:tc>
        <w:tc>
          <w:tcPr>
            <w:tcW w:type="dxa" w:w="3096"/>
            <w:shd w:fill="007E91"/>
            <w:tcMar>
              <w:top w:w="70" w:type="dxa"/>
              <w:bottom w:w="70" w:type="dxa"/>
              <w:start w:w="95" w:type="dxa"/>
              <w:end w:w="95" w:type="dxa"/>
            </w:tcMar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At reassessment</w:t>
            </w:r>
          </w:p>
        </w:tc>
      </w:tr>
      <w:tr>
        <w:trPr>
          <w:trHeight w:val="562" w:hRule="atLeast"/>
          <w:cantSplit/>
        </w:trPr>
        <w:tc>
          <w:tcPr>
            <w:tcW w:type="dxa" w:w="4248"/>
            <w:tcMar>
              <w:top w:w="70" w:type="dxa"/>
              <w:bottom w:w="70" w:type="dxa"/>
              <w:start w:w="95" w:type="dxa"/>
              <w:end w:w="95" w:type="dxa"/>
            </w:tcMar>
            <w:vAlign w:val="center"/>
            <w:shd w:fill="F5F8F9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/>
                <w:color w:val="203C46"/>
                <w:sz w:val="19"/>
              </w:rPr>
              <w:t>Actual time</w:t>
            </w:r>
          </w:p>
        </w:tc>
        <w:tc>
          <w:tcPr>
            <w:tcW w:type="dxa" w:w="3096"/>
            <w:tcMar>
              <w:top w:w="70" w:type="dxa"/>
              <w:bottom w:w="70" w:type="dxa"/>
              <w:start w:w="95" w:type="dxa"/>
              <w:end w:w="95" w:type="dxa"/>
            </w:tcMar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 w:val="0"/>
                <w:color w:val="4C626B"/>
                <w:sz w:val="19"/>
              </w:rPr>
              <w:t>________________</w:t>
            </w:r>
          </w:p>
        </w:tc>
        <w:tc>
          <w:tcPr>
            <w:tcW w:type="dxa" w:w="3096"/>
            <w:tcMar>
              <w:top w:w="70" w:type="dxa"/>
              <w:bottom w:w="70" w:type="dxa"/>
              <w:start w:w="95" w:type="dxa"/>
              <w:end w:w="95" w:type="dxa"/>
            </w:tcMar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 w:val="0"/>
                <w:color w:val="4C626B"/>
                <w:sz w:val="19"/>
              </w:rPr>
              <w:t>________________</w:t>
            </w:r>
          </w:p>
        </w:tc>
      </w:tr>
      <w:tr>
        <w:trPr>
          <w:trHeight w:val="562" w:hRule="atLeast"/>
          <w:cantSplit/>
        </w:trPr>
        <w:tc>
          <w:tcPr>
            <w:tcW w:type="dxa" w:w="4248"/>
            <w:tcMar>
              <w:top w:w="70" w:type="dxa"/>
              <w:bottom w:w="70" w:type="dxa"/>
              <w:start w:w="95" w:type="dxa"/>
              <w:end w:w="95" w:type="dxa"/>
            </w:tcMar>
            <w:vAlign w:val="center"/>
            <w:shd w:fill="F5F8F9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/>
                <w:color w:val="203C46"/>
                <w:sz w:val="19"/>
              </w:rPr>
              <w:t>Same scale / activity context</w:t>
            </w:r>
          </w:p>
        </w:tc>
        <w:tc>
          <w:tcPr>
            <w:tcW w:type="dxa" w:w="3096"/>
            <w:tcMar>
              <w:top w:w="70" w:type="dxa"/>
              <w:bottom w:w="70" w:type="dxa"/>
              <w:start w:w="95" w:type="dxa"/>
              <w:end w:w="95" w:type="dxa"/>
            </w:tcMar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 w:val="0"/>
                <w:color w:val="4C626B"/>
                <w:sz w:val="19"/>
              </w:rPr>
              <w:t>________________</w:t>
            </w:r>
          </w:p>
        </w:tc>
        <w:tc>
          <w:tcPr>
            <w:tcW w:type="dxa" w:w="3096"/>
            <w:tcMar>
              <w:top w:w="70" w:type="dxa"/>
              <w:bottom w:w="70" w:type="dxa"/>
              <w:start w:w="95" w:type="dxa"/>
              <w:end w:w="95" w:type="dxa"/>
            </w:tcMar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 w:val="0"/>
                <w:color w:val="4C626B"/>
                <w:sz w:val="19"/>
              </w:rPr>
              <w:t>________________</w:t>
            </w:r>
          </w:p>
        </w:tc>
      </w:tr>
      <w:tr>
        <w:trPr>
          <w:trHeight w:val="562" w:hRule="atLeast"/>
          <w:cantSplit/>
        </w:trPr>
        <w:tc>
          <w:tcPr>
            <w:tcW w:type="dxa" w:w="4248"/>
            <w:tcMar>
              <w:top w:w="70" w:type="dxa"/>
              <w:bottom w:w="70" w:type="dxa"/>
              <w:start w:w="95" w:type="dxa"/>
              <w:end w:w="95" w:type="dxa"/>
            </w:tcMar>
            <w:vAlign w:val="center"/>
            <w:shd w:fill="F5F8F9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/>
                <w:color w:val="203C46"/>
                <w:sz w:val="19"/>
              </w:rPr>
              <w:t>Function / agreed task</w:t>
            </w:r>
          </w:p>
        </w:tc>
        <w:tc>
          <w:tcPr>
            <w:tcW w:type="dxa" w:w="3096"/>
            <w:tcMar>
              <w:top w:w="70" w:type="dxa"/>
              <w:bottom w:w="70" w:type="dxa"/>
              <w:start w:w="95" w:type="dxa"/>
              <w:end w:w="95" w:type="dxa"/>
            </w:tcMar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 w:val="0"/>
                <w:color w:val="4C626B"/>
                <w:sz w:val="19"/>
              </w:rPr>
              <w:t>________________</w:t>
            </w:r>
          </w:p>
        </w:tc>
        <w:tc>
          <w:tcPr>
            <w:tcW w:type="dxa" w:w="3096"/>
            <w:tcMar>
              <w:top w:w="70" w:type="dxa"/>
              <w:bottom w:w="70" w:type="dxa"/>
              <w:start w:w="95" w:type="dxa"/>
              <w:end w:w="95" w:type="dxa"/>
            </w:tcMar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 w:val="0"/>
                <w:color w:val="4C626B"/>
                <w:sz w:val="19"/>
              </w:rPr>
              <w:t>________________</w:t>
            </w:r>
          </w:p>
        </w:tc>
      </w:tr>
      <w:tr>
        <w:trPr>
          <w:trHeight w:val="562" w:hRule="atLeast"/>
          <w:cantSplit/>
        </w:trPr>
        <w:tc>
          <w:tcPr>
            <w:tcW w:type="dxa" w:w="4248"/>
            <w:tcMar>
              <w:top w:w="70" w:type="dxa"/>
              <w:bottom w:w="70" w:type="dxa"/>
              <w:start w:w="95" w:type="dxa"/>
              <w:end w:w="95" w:type="dxa"/>
            </w:tcMar>
            <w:vAlign w:val="center"/>
            <w:shd w:fill="F5F8F9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/>
                <w:color w:val="203C46"/>
                <w:sz w:val="19"/>
              </w:rPr>
              <w:t>Alertness / breathing, if indicated</w:t>
            </w:r>
          </w:p>
        </w:tc>
        <w:tc>
          <w:tcPr>
            <w:tcW w:type="dxa" w:w="3096"/>
            <w:tcMar>
              <w:top w:w="70" w:type="dxa"/>
              <w:bottom w:w="70" w:type="dxa"/>
              <w:start w:w="95" w:type="dxa"/>
              <w:end w:w="95" w:type="dxa"/>
            </w:tcMar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 w:val="0"/>
                <w:color w:val="4C626B"/>
                <w:sz w:val="19"/>
              </w:rPr>
              <w:t>________________</w:t>
            </w:r>
          </w:p>
        </w:tc>
        <w:tc>
          <w:tcPr>
            <w:tcW w:type="dxa" w:w="3096"/>
            <w:tcMar>
              <w:top w:w="70" w:type="dxa"/>
              <w:bottom w:w="70" w:type="dxa"/>
              <w:start w:w="95" w:type="dxa"/>
              <w:end w:w="95" w:type="dxa"/>
            </w:tcMar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 w:val="0"/>
                <w:color w:val="4C626B"/>
                <w:sz w:val="19"/>
              </w:rPr>
              <w:t>________________</w:t>
            </w:r>
          </w:p>
        </w:tc>
      </w:tr>
      <w:tr>
        <w:trPr>
          <w:trHeight w:val="562" w:hRule="atLeast"/>
          <w:cantSplit/>
        </w:trPr>
        <w:tc>
          <w:tcPr>
            <w:tcW w:type="dxa" w:w="4248"/>
            <w:tcMar>
              <w:top w:w="70" w:type="dxa"/>
              <w:bottom w:w="70" w:type="dxa"/>
              <w:start w:w="95" w:type="dxa"/>
              <w:end w:w="95" w:type="dxa"/>
            </w:tcMar>
            <w:vAlign w:val="center"/>
            <w:shd w:fill="F5F8F9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/>
                <w:color w:val="203C46"/>
                <w:sz w:val="19"/>
              </w:rPr>
              <w:t>Adverse effects / new findings</w:t>
            </w:r>
          </w:p>
        </w:tc>
        <w:tc>
          <w:tcPr>
            <w:tcW w:type="dxa" w:w="3096"/>
            <w:tcMar>
              <w:top w:w="70" w:type="dxa"/>
              <w:bottom w:w="70" w:type="dxa"/>
              <w:start w:w="95" w:type="dxa"/>
              <w:end w:w="95" w:type="dxa"/>
            </w:tcMar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 w:val="0"/>
                <w:color w:val="4C626B"/>
                <w:sz w:val="19"/>
              </w:rPr>
              <w:t>________________</w:t>
            </w:r>
          </w:p>
        </w:tc>
        <w:tc>
          <w:tcPr>
            <w:tcW w:type="dxa" w:w="3096"/>
            <w:tcMar>
              <w:top w:w="70" w:type="dxa"/>
              <w:bottom w:w="70" w:type="dxa"/>
              <w:start w:w="95" w:type="dxa"/>
              <w:end w:w="95" w:type="dxa"/>
            </w:tcMar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 w:val="0"/>
                <w:color w:val="4C626B"/>
                <w:sz w:val="19"/>
              </w:rPr>
              <w:t>________________</w:t>
            </w:r>
          </w:p>
        </w:tc>
      </w:tr>
    </w:tbl>
    <w:p>
      <w:pPr>
        <w:pStyle w:val="Heading1"/>
      </w:pPr>
      <w:r>
        <w:t>4  Close the loop</w:t>
      </w:r>
    </w:p>
    <w:p>
      <w:pPr>
        <w:keepNext/>
        <w:spacing w:before="80" w:after="20" w:line="254" w:lineRule="auto"/>
      </w:pPr>
      <w:r>
        <w:rPr>
          <w:rFonts w:ascii="Calibri" w:hAnsi="Calibri"/>
          <w:b/>
          <w:color w:val="203C46"/>
          <w:sz w:val="19"/>
        </w:rPr>
        <w:t>Patient-reported benefit, concerns, and next action / monitoring plan:</w:t>
      </w:r>
    </w:p>
    <w:p>
      <w:pPr>
        <w:spacing w:before="0" w:after="0" w:line="360" w:lineRule="exact"/>
        <w:pBdr>
          <w:bottom w:val="single" w:sz="3" w:color="C4D5DA"/>
        </w:pBdr>
      </w:pPr>
      <w:r>
        <w:rPr>
          <w:rFonts w:ascii="Calibri" w:hAnsi="Calibri"/>
          <w:b w:val="0"/>
          <w:color w:val="203C46"/>
          <w:sz w:val="20"/>
        </w:rPr>
      </w:r>
      <w:r>
        <w:rPr>
          <w:rFonts w:ascii="Calibri" w:hAnsi="Calibri"/>
          <w:sz w:val="20"/>
        </w:rPr>
        <w:t xml:space="preserve"> </w:t>
      </w:r>
    </w:p>
    <w:p>
      <w:pPr>
        <w:keepNext/>
        <w:spacing w:before="80" w:after="20" w:line="254" w:lineRule="auto"/>
      </w:pPr>
      <w:r>
        <w:rPr>
          <w:rFonts w:ascii="Calibri" w:hAnsi="Calibri"/>
          <w:b/>
          <w:color w:val="203C46"/>
          <w:sz w:val="19"/>
        </w:rPr>
        <w:t>Who was notified, when, response received, and follow-up responsibility:</w:t>
      </w:r>
    </w:p>
    <w:p>
      <w:pPr>
        <w:spacing w:before="0" w:after="0" w:line="360" w:lineRule="exact"/>
        <w:pBdr>
          <w:bottom w:val="single" w:sz="3" w:color="C4D5DA"/>
        </w:pBdr>
      </w:pPr>
      <w:r>
        <w:rPr>
          <w:rFonts w:ascii="Calibri" w:hAnsi="Calibri"/>
          <w:b w:val="0"/>
          <w:color w:val="203C46"/>
          <w:sz w:val="20"/>
        </w:rPr>
      </w:r>
      <w:r>
        <w:rPr>
          <w:rFonts w:ascii="Calibri" w:hAnsi="Calibri"/>
          <w:sz w:val="20"/>
        </w:rPr>
        <w:t xml:space="preserve"> </w:t>
      </w:r>
    </w:p>
    <w:p>
      <w:pPr>
        <w:spacing w:before="100" w:after="0" w:line="254" w:lineRule="auto"/>
      </w:pPr>
      <w:r>
        <w:rPr>
          <w:rFonts w:ascii="Calibri" w:hAnsi="Calibri"/>
          <w:b/>
          <w:color w:val="007E91"/>
          <w:sz w:val="18"/>
        </w:rPr>
        <w:t>Do not delay urgent escalation to wait for a planned reassessment time.</w:t>
      </w:r>
    </w:p>
    <w:p>
      <w:r>
        <w:br w:type="page"/>
      </w:r>
    </w:p>
    <w:p>
      <w:pPr>
        <w:spacing w:before="0" w:after="60" w:line="254" w:lineRule="auto"/>
      </w:pPr>
      <w:r>
        <w:rPr>
          <w:rFonts w:ascii="Calibri" w:hAnsi="Calibri"/>
          <w:b/>
          <w:color w:val="007E91"/>
          <w:sz w:val="17"/>
        </w:rPr>
        <w:t>RESOURCE 02  /  LEARNING NOTES &amp; SELF-CHECK</w:t>
      </w:r>
    </w:p>
    <w:p>
      <w:pPr>
        <w:pStyle w:val="Title"/>
        <w:spacing w:before="0" w:after="100" w:line="240" w:lineRule="auto"/>
      </w:pPr>
      <w:r>
        <w:t>Show What Changed</w:t>
      </w:r>
    </w:p>
    <w:p>
      <w:pPr>
        <w:spacing w:before="0" w:after="160" w:line="254" w:lineRule="auto"/>
      </w:pPr>
      <w:r>
        <w:rPr>
          <w:rFonts w:ascii="Calibri" w:hAnsi="Calibri"/>
          <w:b w:val="0"/>
          <w:color w:val="4C626B"/>
          <w:sz w:val="21"/>
        </w:rPr>
        <w:t>A useful reassessment includes benefit, function, safety, and the next action.</w:t>
      </w:r>
    </w:p>
    <w:p>
      <w:pPr>
        <w:pStyle w:val="Heading1"/>
      </w:pPr>
      <w:r>
        <w:t>Choose the timing deliberately [1,2]</w:t>
      </w:r>
    </w:p>
    <w:p>
      <w:pPr>
        <w:spacing w:before="0" w:after="100" w:line="254" w:lineRule="auto"/>
      </w:pPr>
      <w:r>
        <w:rPr>
          <w:rFonts w:ascii="Calibri" w:hAnsi="Calibri"/>
          <w:b w:val="0"/>
          <w:color w:val="203C46"/>
          <w:sz w:val="18"/>
        </w:rPr>
        <w:t>There is no single reassessment interval that fits every intervention. Use the route and expected effect of a medicine, the non-drug intervention used, patient risk, orders, and site policy. Record the planned time and the actual time. Reassess sooner when the condition changes.</w:t>
      </w:r>
    </w:p>
    <w:p>
      <w:pPr>
        <w:pStyle w:val="Heading1"/>
      </w:pPr>
      <w:r>
        <w:t>Compare like with like [1,2]</w:t>
      </w:r>
    </w:p>
    <w:p>
      <w:pPr>
        <w:spacing w:before="0" w:after="100" w:line="254" w:lineRule="auto"/>
      </w:pPr>
      <w:r>
        <w:rPr>
          <w:rFonts w:ascii="Calibri" w:hAnsi="Calibri"/>
          <w:b w:val="0"/>
          <w:color w:val="203C46"/>
          <w:sz w:val="18"/>
        </w:rPr>
        <w:t>Use the same pain scale when appropriate and describe the activity context. A resting rating before treatment and a walking rating after treatment are not directly equivalent. Ask whether the patient can do the agreed task more comfortably or with less assistance.</w:t>
      </w:r>
    </w:p>
    <w:p>
      <w:pPr>
        <w:pStyle w:val="Heading1"/>
      </w:pPr>
      <w:r>
        <w:t>Keep safety separate from pain relief [2]</w:t>
      </w:r>
    </w:p>
    <w:p>
      <w:pPr>
        <w:spacing w:before="0" w:after="100" w:line="254" w:lineRule="auto"/>
      </w:pPr>
      <w:r>
        <w:rPr>
          <w:rFonts w:ascii="Calibri" w:hAnsi="Calibri"/>
          <w:b w:val="0"/>
          <w:color w:val="203C46"/>
          <w:sz w:val="18"/>
        </w:rPr>
        <w:t>Less pain does not automatically mean a medicine is safe. When relevant, reassess arousability, respiratory rate and quality, oxygenation as ordered, dizziness, nausea, and other adverse effects. Record actual findings rather than "tolerated well" without supporting observations.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440"/>
      </w:tblGrid>
      <w:tr>
        <w:trPr>
          <w:cantSplit/>
        </w:trPr>
        <w:tc>
          <w:tcPr>
            <w:tcW w:type="dxa" w:w="10440"/>
            <w:shd w:fill="FFF5E6"/>
            <w:tcMar>
              <w:top w:w="85" w:type="dxa"/>
              <w:bottom w:w="85" w:type="dxa"/>
              <w:start w:w="120" w:type="dxa"/>
              <w:end w:w="120" w:type="dxa"/>
            </w:tcMar>
          </w:tcPr>
          <w:p>
            <w:pPr>
              <w:spacing w:after="40" w:line="245" w:lineRule="auto"/>
            </w:pPr>
            <w:r>
              <w:rPr>
                <w:rFonts w:ascii="Calibri" w:hAnsi="Calibri"/>
                <w:b/>
                <w:color w:val="007E91"/>
                <w:sz w:val="19"/>
              </w:rPr>
              <w:t>Escalation practice</w:t>
            </w:r>
          </w:p>
          <w:p>
            <w:pPr>
              <w:spacing w:after="0" w:line="247" w:lineRule="auto"/>
            </w:pPr>
            <w:r>
              <w:rPr>
                <w:rFonts w:ascii="Calibri" w:hAnsi="Calibri"/>
                <w:b w:val="0"/>
                <w:color w:val="203C46"/>
                <w:sz w:val="19"/>
              </w:rPr>
              <w:t>If a patient is difficult to awaken or has slow, shallow breathing, activate the site's emergency response and notify the supervising clinician immediately. Follow emergency protocols; do not wait for routine reassessment.</w:t>
            </w:r>
          </w:p>
        </w:tc>
      </w:tr>
    </w:tbl>
    <w:p>
      <w:pPr>
        <w:pStyle w:val="Heading1"/>
      </w:pPr>
      <w:r>
        <w:t>Documentation practice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440"/>
      </w:tblGrid>
      <w:tr>
        <w:trPr>
          <w:cantSplit/>
        </w:trPr>
        <w:tc>
          <w:tcPr>
            <w:tcW w:type="dxa" w:w="10440"/>
            <w:shd w:fill="EDF7F8"/>
            <w:tcMar>
              <w:top w:w="85" w:type="dxa"/>
              <w:bottom w:w="85" w:type="dxa"/>
              <w:start w:w="120" w:type="dxa"/>
              <w:end w:w="120" w:type="dxa"/>
            </w:tcMar>
          </w:tcPr>
          <w:p>
            <w:pPr>
              <w:spacing w:after="40" w:line="245" w:lineRule="auto"/>
            </w:pPr>
            <w:r>
              <w:rPr>
                <w:rFonts w:ascii="Calibri" w:hAnsi="Calibri"/>
                <w:b/>
                <w:color w:val="007E91"/>
                <w:sz w:val="19"/>
              </w:rPr>
              <w:t>Fictional non-medication example</w:t>
            </w:r>
          </w:p>
          <w:p>
            <w:pPr>
              <w:spacing w:after="0" w:line="247" w:lineRule="auto"/>
            </w:pPr>
            <w:r>
              <w:rPr>
                <w:rFonts w:ascii="Calibri" w:hAnsi="Calibri"/>
                <w:b w:val="0"/>
                <w:color w:val="203C46"/>
                <w:sz w:val="19"/>
              </w:rPr>
              <w:t>14:00: Patient reports low-back ache, 5/10 while sitting, and requests repositioning. Assisted to a supported position within the care plan.</w:t>
              <w:br/>
              <w:t>14:20: Still sitting, now supported; reports 3/10 and can continue eating lunch; no new symptoms reported. Supervising nurse updated. Continue the agreed plan and reassess if symptoms change.</w:t>
            </w:r>
          </w:p>
        </w:tc>
      </w:tr>
    </w:tbl>
    <w:p>
      <w:pPr>
        <w:spacing w:before="0" w:after="80" w:line="254" w:lineRule="auto"/>
      </w:pPr>
      <w:r>
        <w:rPr>
          <w:rFonts w:ascii="Calibri" w:hAnsi="Calibri"/>
          <w:b w:val="0"/>
          <w:color w:val="4C626B"/>
          <w:sz w:val="17"/>
        </w:rPr>
        <w:t>The example shows documentation structure only; the 20-minute interval is not a universal recommendation.</w:t>
      </w:r>
    </w:p>
    <w:p>
      <w:pPr>
        <w:keepNext/>
        <w:spacing w:before="80" w:after="20" w:line="254" w:lineRule="auto"/>
      </w:pPr>
      <w:r>
        <w:rPr>
          <w:rFonts w:ascii="Calibri" w:hAnsi="Calibri"/>
          <w:b/>
          <w:color w:val="203C46"/>
          <w:sz w:val="19"/>
        </w:rPr>
        <w:t>Write one sentence showing response, function, and a safety finding:</w:t>
      </w:r>
    </w:p>
    <w:p>
      <w:pPr>
        <w:spacing w:before="0" w:after="0" w:line="360" w:lineRule="exact"/>
        <w:pBdr>
          <w:bottom w:val="single" w:sz="3" w:color="C4D5DA"/>
        </w:pBdr>
      </w:pPr>
      <w:r>
        <w:rPr>
          <w:rFonts w:ascii="Calibri" w:hAnsi="Calibri"/>
          <w:b w:val="0"/>
          <w:color w:val="203C46"/>
          <w:sz w:val="20"/>
        </w:rPr>
      </w:r>
      <w:r>
        <w:rPr>
          <w:rFonts w:ascii="Calibri" w:hAnsi="Calibri"/>
          <w:sz w:val="20"/>
        </w:rPr>
        <w:t xml:space="preserve"> </w:t>
      </w:r>
    </w:p>
    <w:p>
      <w:pPr>
        <w:spacing w:before="0" w:after="0" w:line="360" w:lineRule="exact"/>
        <w:pBdr>
          <w:bottom w:val="single" w:sz="3" w:color="C4D5DA"/>
        </w:pBdr>
      </w:pPr>
      <w:r>
        <w:rPr>
          <w:rFonts w:ascii="Calibri" w:hAnsi="Calibri"/>
          <w:b w:val="0"/>
          <w:color w:val="203C46"/>
          <w:sz w:val="20"/>
        </w:rPr>
      </w:r>
      <w:r>
        <w:rPr>
          <w:rFonts w:ascii="Calibri" w:hAnsi="Calibri"/>
          <w:sz w:val="20"/>
        </w:rPr>
        <w:t xml:space="preserve"> </w:t>
      </w:r>
    </w:p>
    <w:p>
      <w:pPr>
        <w:pStyle w:val="Heading1"/>
      </w:pPr>
      <w:r>
        <w:t>Teaching sources</w:t>
      </w:r>
    </w:p>
    <w:p>
      <w:pPr>
        <w:spacing w:before="0" w:after="60" w:line="254" w:lineRule="auto"/>
      </w:pPr>
      <w:r>
        <w:rPr>
          <w:rFonts w:ascii="Calibri" w:hAnsi="Calibri"/>
          <w:b w:val="0"/>
          <w:color w:val="4C626B"/>
          <w:sz w:val="15"/>
        </w:rPr>
        <w:t xml:space="preserve">[1] Chou, R., et al. (2016). Management of postoperative pain: A clinical practice guideline. The Journal of Pain, 17(2), 131-157. </w:t>
      </w:r>
      <w:hyperlink r:id="rId11">
        <w:r>
          <w:rPr>
            <w:rFonts w:ascii="Calibri" w:hAnsi="Calibri"/>
            <w:color w:val="007E91"/>
            <w:sz w:val="15"/>
          </w:rPr>
          <w:t>Source</w:t>
        </w:r>
      </w:hyperlink>
    </w:p>
    <w:p>
      <w:pPr>
        <w:spacing w:before="0" w:after="60" w:line="254" w:lineRule="auto"/>
      </w:pPr>
      <w:r>
        <w:rPr>
          <w:rFonts w:ascii="Calibri" w:hAnsi="Calibri"/>
          <w:b w:val="0"/>
          <w:color w:val="4C626B"/>
          <w:sz w:val="15"/>
        </w:rPr>
        <w:t xml:space="preserve">[2] Dowell, D., et al. (2022). CDC Clinical Practice Guideline for Prescribing Opioids for Pain - United States, 2022. MMWR, 71(RR-3), 1-95. </w:t>
      </w:r>
      <w:hyperlink r:id="rId12">
        <w:r>
          <w:rPr>
            <w:rFonts w:ascii="Calibri" w:hAnsi="Calibri"/>
            <w:color w:val="007E91"/>
            <w:sz w:val="15"/>
          </w:rPr>
          <w:t>Source</w:t>
        </w:r>
      </w:hyperlink>
    </w:p>
    <w:p>
      <w:pPr>
        <w:spacing w:before="0" w:after="60" w:line="254" w:lineRule="auto"/>
      </w:pPr>
      <w:r>
        <w:rPr>
          <w:rFonts w:ascii="Calibri" w:hAnsi="Calibri"/>
          <w:b w:val="0"/>
          <w:color w:val="4C626B"/>
          <w:sz w:val="15"/>
        </w:rPr>
        <w:t>The postoperative and adult outpatient sources apply to different settings. Neither replaces local reassessment or emergency-response policy; CDC prescribing guidance has specialty exclusions.</w:t>
      </w:r>
    </w:p>
    <w:p>
      <w:pPr>
        <w:spacing w:before="0" w:after="0" w:line="254" w:lineRule="auto"/>
      </w:pPr>
      <w:r>
        <w:rPr>
          <w:rFonts w:ascii="Calibri" w:hAnsi="Calibri"/>
          <w:b w:val="0"/>
          <w:color w:val="4C626B"/>
          <w:sz w:val="15"/>
        </w:rPr>
        <w:t>Original educational worksheet, not a validated assessment instrument, medication order, or clinical protocol. Follow current site policies, approved resources, and supervision requirements.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5" w:right="900" w:bottom="864" w:left="900" w:header="288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504" w:val="left"/>
      </w:tabs>
      <w:spacing w:after="0"/>
      <w:pBdr>
        <w:top w:val="single" w:sz="5" w:color="C4D5DA" w:space="6"/>
      </w:pBdr>
    </w:pPr>
    <w:hyperlink r:id="rId1">
      <w:r>
        <w:rPr>
          <w:rFonts w:ascii="Calibri" w:hAnsi="Calibri"/>
          <w:color w:val="007E91"/>
          <w:sz w:val="16"/>
        </w:rPr>
        <w:t>LeanPainRelief.com</w:t>
      </w:r>
    </w:hyperlink>
    <w:r>
      <w:rPr>
        <w:rFonts w:ascii="Calibri" w:hAnsi="Calibri"/>
        <w:b w:val="0"/>
        <w:color w:val="4C626B"/>
        <w:sz w:val="16"/>
      </w:rPr>
      <w:t xml:space="preserve">  |  Free student resource 02</w:t>
      <w:tab/>
    </w:r>
    <w:r>
      <w:rPr>
        <w:rFonts w:ascii="Calibri" w:hAnsi="Calibri"/>
        <w:b w:val="0"/>
        <w:color w:val="4C626B"/>
        <w:sz w:val="16"/>
      </w:rPr>
      <w:t xml:space="preserve">Page </w:t>
    </w:r>
    <w:fldSimple w:instr="PAGE"/>
    <w:r>
      <w:rPr>
        <w:rFonts w:ascii="Calibri" w:hAnsi="Calibri"/>
        <w:b w:val="0"/>
        <w:color w:val="4C626B"/>
        <w:sz w:val="16"/>
      </w:rPr>
      <w:t xml:space="preserve"> of 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9144"/>
      <w:gridCol w:w="1296"/>
    </w:tblGrid>
    <w:tr>
      <w:tc>
        <w:tcPr>
          <w:tcW w:type="dxa" w:w="9144"/>
          <w:tcMar>
            <w:top w:w="0" w:type="dxa"/>
            <w:bottom w:w="0" w:type="dxa"/>
            <w:start w:w="0" w:type="dxa"/>
            <w:end w:w="0" w:type="dxa"/>
          </w:tcMar>
          <w:vAlign w:val="center"/>
        </w:tcPr>
        <w:p>
          <w:pPr>
            <w:spacing w:after="0" w:before="0" w:line="245" w:lineRule="auto"/>
          </w:pPr>
          <w:r>
            <w:rPr>
              <w:rFonts w:ascii="Calibri" w:hAnsi="Calibri"/>
              <w:b/>
              <w:color w:val="007E91"/>
              <w:sz w:val="19"/>
            </w:rPr>
            <w:t>LEAN PAIN RELIEF INITIATIVE</w:t>
          </w:r>
        </w:p>
        <w:p>
          <w:pPr>
            <w:spacing w:after="0"/>
          </w:pPr>
          <w:r>
            <w:rPr>
              <w:rFonts w:ascii="Calibri" w:hAnsi="Calibri"/>
              <w:b w:val="0"/>
              <w:color w:val="4C626B"/>
              <w:sz w:val="15"/>
            </w:rPr>
            <w:t>HEALTHCARE STUDENT LEARNING SERIES</w:t>
          </w:r>
        </w:p>
      </w:tc>
      <w:tc>
        <w:tcPr>
          <w:tcW w:type="dxa" w:w="1296"/>
          <w:tcMar>
            <w:top w:w="0" w:type="dxa"/>
            <w:bottom w:w="0" w:type="dxa"/>
            <w:start w:w="0" w:type="dxa"/>
            <w:end w:w="0" w:type="dxa"/>
          </w:tcMar>
        </w:tcPr>
        <w:p>
          <w:pPr>
            <w:spacing w:after="0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594360" cy="594360"/>
                <wp:docPr id="1" name="Picture 1" descr="Lean Pain Relief Initiative logo" title="Lean Pain Relief Initiative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web main logo vertical 400 x 100px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4360" cy="59436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4" w:lineRule="auto"/>
    </w:pPr>
    <w:rPr>
      <w:rFonts w:ascii="Calibri" w:hAnsi="Calibri"/>
      <w:color w:val="203C46"/>
      <w:sz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7E91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203C46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007E91"/>
      </w:pBdr>
      <w:spacing w:after="80" w:line="240" w:lineRule="auto" w:before="100"/>
      <w:contextualSpacing/>
    </w:pPr>
    <w:rPr>
      <w:rFonts w:asciiTheme="majorHAnsi" w:eastAsiaTheme="majorEastAsia" w:hAnsiTheme="majorHAnsi" w:cstheme="majorBidi" w:ascii="Calibri" w:hAnsi="Calibri"/>
      <w:b/>
      <w:color w:val="203C46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doi.org/10.1016/j.jpain.2015.12.008" TargetMode="External"/><Relationship Id="rId12" Type="http://schemas.openxmlformats.org/officeDocument/2006/relationships/hyperlink" Target="https://doi.org/10.15585/mmwr.rr7103a1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leanpainrelief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Intervention &amp; Reassessment</dc:title>
  <dc:subject>Free healthcare student resource | Lean Pain Relief Initiative</dc:subject>
  <dc:creator>Lean Pain Relief Initiative</dc:creator>
  <cp:keywords>pain education, healthcare students, clinical learning, worksheet</cp:keywords>
  <dc:description>Original educational worksheet. Sources are dated; clinical review is required before publication.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